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197" w:type="dxa"/>
        <w:tblInd w:w="354" w:type="dxa"/>
        <w:tblLayout w:type="fixed"/>
        <w:tblCellMar>
          <w:left w:w="70" w:type="dxa"/>
          <w:right w:w="70" w:type="dxa"/>
        </w:tblCellMar>
        <w:tblLook w:val="04A0"/>
      </w:tblPr>
      <w:tblGrid>
        <w:gridCol w:w="708"/>
        <w:gridCol w:w="194"/>
        <w:gridCol w:w="82"/>
        <w:gridCol w:w="1284"/>
        <w:gridCol w:w="1134"/>
        <w:gridCol w:w="272"/>
        <w:gridCol w:w="284"/>
        <w:gridCol w:w="142"/>
        <w:gridCol w:w="1003"/>
        <w:gridCol w:w="283"/>
        <w:gridCol w:w="1560"/>
        <w:gridCol w:w="425"/>
        <w:gridCol w:w="633"/>
        <w:gridCol w:w="284"/>
        <w:gridCol w:w="75"/>
        <w:gridCol w:w="142"/>
        <w:gridCol w:w="425"/>
        <w:gridCol w:w="211"/>
        <w:gridCol w:w="498"/>
        <w:gridCol w:w="567"/>
        <w:gridCol w:w="489"/>
        <w:gridCol w:w="284"/>
        <w:gridCol w:w="361"/>
        <w:gridCol w:w="492"/>
        <w:gridCol w:w="216"/>
        <w:gridCol w:w="142"/>
        <w:gridCol w:w="204"/>
        <w:gridCol w:w="284"/>
        <w:gridCol w:w="788"/>
        <w:gridCol w:w="65"/>
        <w:gridCol w:w="77"/>
        <w:gridCol w:w="343"/>
        <w:gridCol w:w="284"/>
        <w:gridCol w:w="853"/>
        <w:gridCol w:w="204"/>
        <w:gridCol w:w="380"/>
        <w:gridCol w:w="160"/>
        <w:gridCol w:w="124"/>
        <w:gridCol w:w="853"/>
        <w:gridCol w:w="59"/>
        <w:gridCol w:w="885"/>
        <w:gridCol w:w="1060"/>
        <w:gridCol w:w="252"/>
        <w:gridCol w:w="245"/>
        <w:gridCol w:w="640"/>
        <w:gridCol w:w="247"/>
      </w:tblGrid>
      <w:tr w:rsidR="000F6F72" w:rsidRPr="00A22005" w:rsidTr="005665A3">
        <w:trPr>
          <w:gridAfter w:val="6"/>
          <w:wAfter w:w="3329" w:type="dxa"/>
          <w:trHeight w:val="110"/>
        </w:trPr>
        <w:tc>
          <w:tcPr>
            <w:tcW w:w="13608" w:type="dxa"/>
            <w:gridSpan w:val="31"/>
            <w:tcBorders>
              <w:top w:val="single" w:sz="4" w:space="0" w:color="auto"/>
              <w:left w:val="single" w:sz="4" w:space="0" w:color="auto"/>
              <w:bottom w:val="nil"/>
              <w:right w:val="single" w:sz="4" w:space="0" w:color="auto"/>
            </w:tcBorders>
            <w:shd w:val="clear" w:color="auto" w:fill="auto"/>
            <w:noWrap/>
            <w:vAlign w:val="center"/>
            <w:hideMark/>
          </w:tcPr>
          <w:p w:rsidR="000F6F72" w:rsidRPr="00A22005" w:rsidRDefault="004D1090" w:rsidP="00085836">
            <w:pPr>
              <w:rPr>
                <w:rFonts w:ascii="Arial" w:hAnsi="Arial" w:cs="Arial"/>
                <w:b/>
                <w:bCs/>
                <w:sz w:val="20"/>
                <w:szCs w:val="20"/>
              </w:rPr>
            </w:pPr>
            <w:r>
              <w:rPr>
                <w:rFonts w:ascii="Arial" w:hAnsi="Arial" w:cs="Arial"/>
                <w:b/>
                <w:bCs/>
                <w:sz w:val="20"/>
                <w:szCs w:val="20"/>
              </w:rPr>
              <w:t xml:space="preserve"> </w:t>
            </w:r>
            <w:r w:rsidR="00D2102E">
              <w:rPr>
                <w:rFonts w:ascii="Arial" w:hAnsi="Arial" w:cs="Arial"/>
                <w:b/>
                <w:bCs/>
                <w:sz w:val="20"/>
                <w:szCs w:val="20"/>
              </w:rPr>
              <w:t xml:space="preserve">ESTADO AVANCE </w:t>
            </w:r>
            <w:r w:rsidR="000F6F72" w:rsidRPr="00A22005">
              <w:rPr>
                <w:rFonts w:ascii="Arial" w:hAnsi="Arial" w:cs="Arial"/>
                <w:b/>
                <w:bCs/>
                <w:sz w:val="20"/>
                <w:szCs w:val="20"/>
              </w:rPr>
              <w:t xml:space="preserve">PLAN DE MEJORAMIENTO PARA LA CONTRALORÍA MUNICIPAL DE </w:t>
            </w:r>
            <w:r w:rsidR="00E3381D" w:rsidRPr="00A22005">
              <w:rPr>
                <w:rFonts w:ascii="Arial" w:hAnsi="Arial" w:cs="Arial"/>
                <w:b/>
                <w:bCs/>
                <w:sz w:val="20"/>
                <w:szCs w:val="20"/>
              </w:rPr>
              <w:t>BUCARAMANGA</w:t>
            </w:r>
            <w:r w:rsidR="00E3381D">
              <w:rPr>
                <w:rFonts w:ascii="Arial" w:hAnsi="Arial" w:cs="Arial"/>
                <w:b/>
                <w:bCs/>
                <w:sz w:val="20"/>
                <w:szCs w:val="20"/>
              </w:rPr>
              <w:t xml:space="preserve">:   </w:t>
            </w:r>
            <w:r w:rsidR="00085836">
              <w:rPr>
                <w:rFonts w:ascii="Arial" w:hAnsi="Arial" w:cs="Arial"/>
                <w:b/>
                <w:bCs/>
                <w:sz w:val="20"/>
                <w:szCs w:val="20"/>
              </w:rPr>
              <w:t xml:space="preserve">ABRIL A JUNIO </w:t>
            </w:r>
            <w:r w:rsidR="00E3381D">
              <w:rPr>
                <w:rFonts w:ascii="Arial" w:hAnsi="Arial" w:cs="Arial"/>
                <w:b/>
                <w:bCs/>
                <w:sz w:val="20"/>
                <w:szCs w:val="20"/>
              </w:rPr>
              <w:t xml:space="preserve"> DE 2015 </w:t>
            </w:r>
            <w:r w:rsidR="00085836">
              <w:rPr>
                <w:rFonts w:ascii="Arial" w:hAnsi="Arial" w:cs="Arial"/>
                <w:b/>
                <w:bCs/>
                <w:sz w:val="20"/>
                <w:szCs w:val="20"/>
                <w:u w:val="single"/>
              </w:rPr>
              <w:t xml:space="preserve">SEGUNDO </w:t>
            </w:r>
            <w:r w:rsidR="00E3381D" w:rsidRPr="00E3381D">
              <w:rPr>
                <w:rFonts w:ascii="Arial" w:hAnsi="Arial" w:cs="Arial"/>
                <w:b/>
                <w:bCs/>
                <w:sz w:val="20"/>
                <w:szCs w:val="20"/>
                <w:u w:val="single"/>
              </w:rPr>
              <w:t xml:space="preserve"> TRIMESTRE</w:t>
            </w:r>
            <w:r w:rsidR="00E3381D">
              <w:rPr>
                <w:rFonts w:ascii="Arial" w:hAnsi="Arial" w:cs="Arial"/>
                <w:b/>
                <w:bCs/>
                <w:sz w:val="20"/>
                <w:szCs w:val="20"/>
              </w:rPr>
              <w:t>.</w:t>
            </w:r>
            <w:r w:rsidR="00B76C79">
              <w:rPr>
                <w:rFonts w:ascii="Arial" w:hAnsi="Arial" w:cs="Arial"/>
                <w:b/>
                <w:bCs/>
                <w:sz w:val="20"/>
                <w:szCs w:val="20"/>
              </w:rPr>
              <w:t xml:space="preserve">  </w:t>
            </w:r>
          </w:p>
        </w:tc>
        <w:tc>
          <w:tcPr>
            <w:tcW w:w="3260" w:type="dxa"/>
            <w:gridSpan w:val="9"/>
            <w:tcBorders>
              <w:top w:val="nil"/>
              <w:left w:val="single" w:sz="4" w:space="0" w:color="auto"/>
              <w:bottom w:val="nil"/>
              <w:right w:val="nil"/>
            </w:tcBorders>
            <w:shd w:val="clear" w:color="auto" w:fill="auto"/>
            <w:noWrap/>
            <w:vAlign w:val="center"/>
            <w:hideMark/>
          </w:tcPr>
          <w:p w:rsidR="000F6F72" w:rsidRPr="00A22005" w:rsidRDefault="000F6F72" w:rsidP="006134A3">
            <w:pPr>
              <w:rPr>
                <w:rFonts w:ascii="Arial" w:hAnsi="Arial" w:cs="Arial"/>
                <w:sz w:val="20"/>
                <w:szCs w:val="20"/>
              </w:rPr>
            </w:pPr>
          </w:p>
        </w:tc>
      </w:tr>
      <w:tr w:rsidR="000F6F72" w:rsidRPr="00A22005" w:rsidTr="005665A3">
        <w:trPr>
          <w:gridAfter w:val="6"/>
          <w:wAfter w:w="3329" w:type="dxa"/>
          <w:trHeight w:val="110"/>
        </w:trPr>
        <w:tc>
          <w:tcPr>
            <w:tcW w:w="13608" w:type="dxa"/>
            <w:gridSpan w:val="31"/>
            <w:tcBorders>
              <w:top w:val="nil"/>
              <w:left w:val="single" w:sz="4" w:space="0" w:color="auto"/>
              <w:bottom w:val="nil"/>
              <w:right w:val="single" w:sz="4" w:space="0" w:color="auto"/>
            </w:tcBorders>
            <w:shd w:val="clear" w:color="auto" w:fill="auto"/>
            <w:noWrap/>
            <w:vAlign w:val="center"/>
            <w:hideMark/>
          </w:tcPr>
          <w:p w:rsidR="000F6F72" w:rsidRPr="00A22005" w:rsidRDefault="000F6F72" w:rsidP="00FB6C3A">
            <w:pPr>
              <w:rPr>
                <w:rFonts w:ascii="Arial" w:hAnsi="Arial" w:cs="Arial"/>
                <w:b/>
                <w:bCs/>
                <w:sz w:val="16"/>
                <w:szCs w:val="16"/>
              </w:rPr>
            </w:pPr>
          </w:p>
        </w:tc>
        <w:tc>
          <w:tcPr>
            <w:tcW w:w="3260" w:type="dxa"/>
            <w:gridSpan w:val="9"/>
            <w:tcBorders>
              <w:top w:val="nil"/>
              <w:left w:val="single" w:sz="4" w:space="0" w:color="auto"/>
              <w:bottom w:val="nil"/>
              <w:right w:val="nil"/>
            </w:tcBorders>
            <w:shd w:val="clear" w:color="auto" w:fill="auto"/>
            <w:noWrap/>
            <w:vAlign w:val="center"/>
            <w:hideMark/>
          </w:tcPr>
          <w:p w:rsidR="000F6F72" w:rsidRPr="00A22005" w:rsidRDefault="000F6F72" w:rsidP="006134A3">
            <w:pPr>
              <w:rPr>
                <w:rFonts w:ascii="Arial" w:hAnsi="Arial" w:cs="Arial"/>
                <w:sz w:val="16"/>
                <w:szCs w:val="16"/>
              </w:rPr>
            </w:pPr>
          </w:p>
        </w:tc>
      </w:tr>
      <w:tr w:rsidR="000F6F72" w:rsidRPr="00A22005" w:rsidTr="005665A3">
        <w:trPr>
          <w:gridAfter w:val="6"/>
          <w:wAfter w:w="3329" w:type="dxa"/>
          <w:trHeight w:val="110"/>
        </w:trPr>
        <w:tc>
          <w:tcPr>
            <w:tcW w:w="13608" w:type="dxa"/>
            <w:gridSpan w:val="31"/>
            <w:tcBorders>
              <w:top w:val="nil"/>
              <w:left w:val="single" w:sz="4" w:space="0" w:color="auto"/>
              <w:bottom w:val="nil"/>
              <w:right w:val="single" w:sz="4" w:space="0" w:color="auto"/>
            </w:tcBorders>
            <w:shd w:val="clear" w:color="auto" w:fill="auto"/>
            <w:noWrap/>
            <w:vAlign w:val="center"/>
            <w:hideMark/>
          </w:tcPr>
          <w:p w:rsidR="000F6F72" w:rsidRPr="00A22005" w:rsidRDefault="000F6F72" w:rsidP="00604555">
            <w:pPr>
              <w:rPr>
                <w:rFonts w:ascii="Arial" w:hAnsi="Arial" w:cs="Arial"/>
                <w:b/>
                <w:bCs/>
                <w:sz w:val="20"/>
                <w:szCs w:val="20"/>
              </w:rPr>
            </w:pPr>
            <w:r w:rsidRPr="008C3678">
              <w:rPr>
                <w:rFonts w:ascii="Arial" w:hAnsi="Arial" w:cs="Arial"/>
                <w:b/>
                <w:bCs/>
                <w:sz w:val="18"/>
                <w:szCs w:val="18"/>
              </w:rPr>
              <w:t>NOMBRE GERENTE SECCIONAL BUCARAMANGA</w:t>
            </w:r>
            <w:r w:rsidRPr="00A22005">
              <w:rPr>
                <w:rFonts w:ascii="Arial" w:hAnsi="Arial" w:cs="Arial"/>
                <w:b/>
                <w:bCs/>
                <w:sz w:val="20"/>
                <w:szCs w:val="20"/>
              </w:rPr>
              <w:t xml:space="preserve">: </w:t>
            </w:r>
            <w:r w:rsidR="00A0018B">
              <w:rPr>
                <w:rFonts w:ascii="Arial" w:hAnsi="Arial" w:cs="Arial"/>
                <w:b/>
                <w:bCs/>
                <w:sz w:val="20"/>
                <w:szCs w:val="20"/>
              </w:rPr>
              <w:t>JAIME PARRA SANCHEZ</w:t>
            </w:r>
            <w:r w:rsidR="00186608">
              <w:rPr>
                <w:rFonts w:ascii="Arial" w:hAnsi="Arial" w:cs="Arial"/>
                <w:b/>
                <w:bCs/>
                <w:sz w:val="20"/>
                <w:szCs w:val="20"/>
              </w:rPr>
              <w:t xml:space="preserve">         </w:t>
            </w:r>
            <w:r w:rsidR="00A0018B">
              <w:rPr>
                <w:rFonts w:ascii="Arial" w:hAnsi="Arial" w:cs="Arial"/>
                <w:b/>
                <w:bCs/>
                <w:sz w:val="20"/>
                <w:szCs w:val="20"/>
              </w:rPr>
              <w:t xml:space="preserve">  </w:t>
            </w:r>
            <w:r w:rsidRPr="008C3678">
              <w:rPr>
                <w:rFonts w:ascii="Arial" w:hAnsi="Arial" w:cs="Arial"/>
                <w:b/>
                <w:bCs/>
                <w:sz w:val="18"/>
                <w:szCs w:val="18"/>
              </w:rPr>
              <w:t>NOMBRE DEL CONTRALOR</w:t>
            </w:r>
            <w:r w:rsidRPr="00A22005">
              <w:rPr>
                <w:rFonts w:ascii="Arial" w:hAnsi="Arial" w:cs="Arial"/>
                <w:b/>
                <w:bCs/>
                <w:sz w:val="20"/>
                <w:szCs w:val="20"/>
              </w:rPr>
              <w:t xml:space="preserve">: MAGDA MILENA AMADO GAONA </w:t>
            </w:r>
          </w:p>
        </w:tc>
        <w:tc>
          <w:tcPr>
            <w:tcW w:w="3260" w:type="dxa"/>
            <w:gridSpan w:val="9"/>
            <w:tcBorders>
              <w:top w:val="nil"/>
              <w:left w:val="single" w:sz="4" w:space="0" w:color="auto"/>
              <w:bottom w:val="nil"/>
              <w:right w:val="nil"/>
            </w:tcBorders>
            <w:shd w:val="clear" w:color="auto" w:fill="auto"/>
            <w:noWrap/>
            <w:vAlign w:val="center"/>
            <w:hideMark/>
          </w:tcPr>
          <w:p w:rsidR="000F6F72" w:rsidRPr="00A22005" w:rsidRDefault="000F6F72" w:rsidP="006134A3">
            <w:pPr>
              <w:rPr>
                <w:rFonts w:ascii="Arial" w:hAnsi="Arial" w:cs="Arial"/>
                <w:sz w:val="20"/>
                <w:szCs w:val="20"/>
              </w:rPr>
            </w:pPr>
          </w:p>
        </w:tc>
      </w:tr>
      <w:tr w:rsidR="000F6F72" w:rsidRPr="00A22005" w:rsidTr="005665A3">
        <w:trPr>
          <w:gridAfter w:val="6"/>
          <w:wAfter w:w="3329" w:type="dxa"/>
          <w:trHeight w:val="110"/>
        </w:trPr>
        <w:tc>
          <w:tcPr>
            <w:tcW w:w="13608" w:type="dxa"/>
            <w:gridSpan w:val="31"/>
            <w:tcBorders>
              <w:top w:val="nil"/>
              <w:left w:val="single" w:sz="4" w:space="0" w:color="auto"/>
              <w:bottom w:val="nil"/>
              <w:right w:val="single" w:sz="4" w:space="0" w:color="auto"/>
            </w:tcBorders>
            <w:shd w:val="clear" w:color="auto" w:fill="auto"/>
            <w:noWrap/>
            <w:vAlign w:val="center"/>
            <w:hideMark/>
          </w:tcPr>
          <w:p w:rsidR="000F6F72" w:rsidRPr="00A22005" w:rsidRDefault="000F6F72" w:rsidP="00FB6C3A">
            <w:pPr>
              <w:rPr>
                <w:rFonts w:ascii="Arial" w:hAnsi="Arial" w:cs="Arial"/>
                <w:b/>
                <w:bCs/>
                <w:sz w:val="16"/>
                <w:szCs w:val="16"/>
              </w:rPr>
            </w:pPr>
          </w:p>
        </w:tc>
        <w:tc>
          <w:tcPr>
            <w:tcW w:w="3260" w:type="dxa"/>
            <w:gridSpan w:val="9"/>
            <w:tcBorders>
              <w:top w:val="nil"/>
              <w:left w:val="single" w:sz="4" w:space="0" w:color="auto"/>
              <w:bottom w:val="nil"/>
              <w:right w:val="nil"/>
            </w:tcBorders>
            <w:shd w:val="clear" w:color="auto" w:fill="auto"/>
            <w:noWrap/>
            <w:vAlign w:val="center"/>
            <w:hideMark/>
          </w:tcPr>
          <w:p w:rsidR="000F6F72" w:rsidRPr="00A22005" w:rsidRDefault="000F6F72" w:rsidP="006134A3">
            <w:pPr>
              <w:rPr>
                <w:rFonts w:ascii="Arial" w:hAnsi="Arial" w:cs="Arial"/>
                <w:sz w:val="20"/>
                <w:szCs w:val="20"/>
              </w:rPr>
            </w:pPr>
          </w:p>
        </w:tc>
      </w:tr>
      <w:tr w:rsidR="000F6F72" w:rsidRPr="00A22005" w:rsidTr="005665A3">
        <w:trPr>
          <w:gridAfter w:val="6"/>
          <w:wAfter w:w="3329" w:type="dxa"/>
          <w:trHeight w:val="110"/>
        </w:trPr>
        <w:tc>
          <w:tcPr>
            <w:tcW w:w="13608" w:type="dxa"/>
            <w:gridSpan w:val="31"/>
            <w:tcBorders>
              <w:top w:val="nil"/>
              <w:left w:val="single" w:sz="4" w:space="0" w:color="auto"/>
              <w:bottom w:val="nil"/>
              <w:right w:val="single" w:sz="4" w:space="0" w:color="auto"/>
            </w:tcBorders>
            <w:shd w:val="clear" w:color="auto" w:fill="auto"/>
            <w:noWrap/>
            <w:vAlign w:val="center"/>
            <w:hideMark/>
          </w:tcPr>
          <w:p w:rsidR="000F6F72" w:rsidRPr="00A22005" w:rsidRDefault="000F6F72" w:rsidP="00FB6C3A">
            <w:pPr>
              <w:rPr>
                <w:rFonts w:ascii="Arial" w:hAnsi="Arial" w:cs="Arial"/>
                <w:b/>
                <w:bCs/>
                <w:sz w:val="20"/>
                <w:szCs w:val="20"/>
              </w:rPr>
            </w:pPr>
            <w:r w:rsidRPr="00A22005">
              <w:rPr>
                <w:rFonts w:ascii="Arial" w:hAnsi="Arial" w:cs="Arial"/>
                <w:b/>
                <w:bCs/>
                <w:sz w:val="20"/>
                <w:szCs w:val="20"/>
              </w:rPr>
              <w:t xml:space="preserve">FECHA DE SUSCRIPCIÓN: </w:t>
            </w:r>
            <w:r w:rsidR="0082681E">
              <w:rPr>
                <w:rFonts w:ascii="Arial" w:hAnsi="Arial" w:cs="Arial"/>
                <w:b/>
                <w:bCs/>
                <w:sz w:val="20"/>
                <w:szCs w:val="20"/>
              </w:rPr>
              <w:t>DICIEMBRE</w:t>
            </w:r>
            <w:r w:rsidR="00EA2A62">
              <w:rPr>
                <w:rFonts w:ascii="Arial" w:hAnsi="Arial" w:cs="Arial"/>
                <w:b/>
                <w:bCs/>
                <w:sz w:val="20"/>
                <w:szCs w:val="20"/>
              </w:rPr>
              <w:t xml:space="preserve"> 2014</w:t>
            </w:r>
            <w:r w:rsidRPr="00A22005">
              <w:rPr>
                <w:rFonts w:ascii="Arial" w:hAnsi="Arial" w:cs="Arial"/>
                <w:b/>
                <w:bCs/>
                <w:sz w:val="20"/>
                <w:szCs w:val="20"/>
              </w:rPr>
              <w:t xml:space="preserve">                                                       </w:t>
            </w:r>
            <w:r>
              <w:rPr>
                <w:rFonts w:ascii="Arial" w:hAnsi="Arial" w:cs="Arial"/>
                <w:b/>
                <w:bCs/>
                <w:sz w:val="20"/>
                <w:szCs w:val="20"/>
              </w:rPr>
              <w:t xml:space="preserve">                           </w:t>
            </w:r>
            <w:r w:rsidR="00A0018B">
              <w:rPr>
                <w:rFonts w:ascii="Arial" w:hAnsi="Arial" w:cs="Arial"/>
                <w:b/>
                <w:bCs/>
                <w:sz w:val="20"/>
                <w:szCs w:val="20"/>
              </w:rPr>
              <w:t xml:space="preserve">  </w:t>
            </w:r>
            <w:r>
              <w:rPr>
                <w:rFonts w:ascii="Arial" w:hAnsi="Arial" w:cs="Arial"/>
                <w:b/>
                <w:bCs/>
                <w:sz w:val="20"/>
                <w:szCs w:val="20"/>
              </w:rPr>
              <w:t xml:space="preserve"> </w:t>
            </w:r>
            <w:r w:rsidR="0082681E">
              <w:rPr>
                <w:rFonts w:ascii="Arial" w:hAnsi="Arial" w:cs="Arial"/>
                <w:b/>
                <w:bCs/>
                <w:sz w:val="20"/>
                <w:szCs w:val="20"/>
              </w:rPr>
              <w:t xml:space="preserve">  </w:t>
            </w:r>
            <w:r w:rsidRPr="00A22005">
              <w:rPr>
                <w:rFonts w:ascii="Arial" w:hAnsi="Arial" w:cs="Arial"/>
                <w:b/>
                <w:bCs/>
                <w:sz w:val="20"/>
                <w:szCs w:val="20"/>
              </w:rPr>
              <w:t>MODALIDAD DE AUDITORÍA: REGULAR</w:t>
            </w:r>
          </w:p>
        </w:tc>
        <w:tc>
          <w:tcPr>
            <w:tcW w:w="3260" w:type="dxa"/>
            <w:gridSpan w:val="9"/>
            <w:tcBorders>
              <w:top w:val="nil"/>
              <w:left w:val="single" w:sz="4" w:space="0" w:color="auto"/>
              <w:bottom w:val="nil"/>
              <w:right w:val="nil"/>
            </w:tcBorders>
            <w:shd w:val="clear" w:color="auto" w:fill="auto"/>
            <w:noWrap/>
            <w:vAlign w:val="center"/>
            <w:hideMark/>
          </w:tcPr>
          <w:p w:rsidR="000F6F72" w:rsidRPr="00A22005" w:rsidRDefault="000F6F72" w:rsidP="006134A3">
            <w:pPr>
              <w:rPr>
                <w:rFonts w:ascii="Arial" w:hAnsi="Arial" w:cs="Arial"/>
                <w:sz w:val="20"/>
                <w:szCs w:val="20"/>
              </w:rPr>
            </w:pPr>
          </w:p>
        </w:tc>
      </w:tr>
      <w:tr w:rsidR="005F01C6" w:rsidRPr="00A22005" w:rsidTr="005665A3">
        <w:trPr>
          <w:gridAfter w:val="6"/>
          <w:wAfter w:w="3329" w:type="dxa"/>
          <w:trHeight w:val="80"/>
        </w:trPr>
        <w:tc>
          <w:tcPr>
            <w:tcW w:w="902" w:type="dxa"/>
            <w:gridSpan w:val="2"/>
            <w:tcBorders>
              <w:top w:val="nil"/>
              <w:left w:val="single" w:sz="4" w:space="0" w:color="auto"/>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3198" w:type="dxa"/>
            <w:gridSpan w:val="6"/>
            <w:tcBorders>
              <w:top w:val="nil"/>
              <w:left w:val="nil"/>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1003" w:type="dxa"/>
            <w:tcBorders>
              <w:top w:val="nil"/>
              <w:left w:val="nil"/>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2268" w:type="dxa"/>
            <w:gridSpan w:val="3"/>
            <w:tcBorders>
              <w:top w:val="nil"/>
              <w:left w:val="nil"/>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1134" w:type="dxa"/>
            <w:gridSpan w:val="4"/>
            <w:tcBorders>
              <w:top w:val="nil"/>
              <w:left w:val="nil"/>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1134" w:type="dxa"/>
            <w:gridSpan w:val="3"/>
            <w:tcBorders>
              <w:top w:val="nil"/>
              <w:left w:val="nil"/>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2409" w:type="dxa"/>
            <w:gridSpan w:val="6"/>
            <w:tcBorders>
              <w:top w:val="nil"/>
              <w:left w:val="nil"/>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1560" w:type="dxa"/>
            <w:gridSpan w:val="6"/>
            <w:tcBorders>
              <w:top w:val="nil"/>
              <w:left w:val="nil"/>
              <w:bottom w:val="single" w:sz="4" w:space="0" w:color="auto"/>
              <w:right w:val="single" w:sz="4" w:space="0" w:color="auto"/>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3260" w:type="dxa"/>
            <w:gridSpan w:val="9"/>
            <w:tcBorders>
              <w:top w:val="nil"/>
              <w:left w:val="single" w:sz="4" w:space="0" w:color="auto"/>
              <w:bottom w:val="nil"/>
              <w:right w:val="nil"/>
            </w:tcBorders>
            <w:shd w:val="clear" w:color="auto" w:fill="auto"/>
            <w:noWrap/>
            <w:vAlign w:val="center"/>
            <w:hideMark/>
          </w:tcPr>
          <w:p w:rsidR="006134A3" w:rsidRPr="00A22005" w:rsidRDefault="006134A3" w:rsidP="006134A3">
            <w:pPr>
              <w:rPr>
                <w:rFonts w:ascii="Arial" w:hAnsi="Arial" w:cs="Arial"/>
                <w:sz w:val="16"/>
                <w:szCs w:val="16"/>
              </w:rPr>
            </w:pPr>
          </w:p>
        </w:tc>
      </w:tr>
      <w:tr w:rsidR="005F01C6" w:rsidRPr="00A22005" w:rsidTr="005665A3">
        <w:trPr>
          <w:gridAfter w:val="6"/>
          <w:wAfter w:w="3329" w:type="dxa"/>
          <w:trHeight w:val="110"/>
        </w:trPr>
        <w:tc>
          <w:tcPr>
            <w:tcW w:w="902" w:type="dxa"/>
            <w:gridSpan w:val="2"/>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3198" w:type="dxa"/>
            <w:gridSpan w:val="6"/>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b/>
                <w:bCs/>
                <w:sz w:val="20"/>
                <w:szCs w:val="20"/>
              </w:rPr>
            </w:pPr>
          </w:p>
        </w:tc>
        <w:tc>
          <w:tcPr>
            <w:tcW w:w="1003" w:type="dxa"/>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2268" w:type="dxa"/>
            <w:gridSpan w:val="3"/>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1134" w:type="dxa"/>
            <w:gridSpan w:val="4"/>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1134" w:type="dxa"/>
            <w:gridSpan w:val="3"/>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2409" w:type="dxa"/>
            <w:gridSpan w:val="6"/>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1560" w:type="dxa"/>
            <w:gridSpan w:val="6"/>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3260" w:type="dxa"/>
            <w:gridSpan w:val="9"/>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r>
      <w:tr w:rsidR="005F01C6" w:rsidRPr="00A22005" w:rsidTr="005665A3">
        <w:trPr>
          <w:gridAfter w:val="6"/>
          <w:wAfter w:w="3329" w:type="dxa"/>
          <w:trHeight w:val="110"/>
        </w:trPr>
        <w:tc>
          <w:tcPr>
            <w:tcW w:w="4100" w:type="dxa"/>
            <w:gridSpan w:val="8"/>
            <w:tcBorders>
              <w:top w:val="nil"/>
              <w:left w:val="nil"/>
              <w:bottom w:val="nil"/>
              <w:right w:val="nil"/>
            </w:tcBorders>
            <w:shd w:val="clear" w:color="auto" w:fill="auto"/>
            <w:noWrap/>
            <w:vAlign w:val="center"/>
            <w:hideMark/>
          </w:tcPr>
          <w:p w:rsidR="00DD6963" w:rsidRDefault="00DD6963" w:rsidP="006134A3">
            <w:pPr>
              <w:rPr>
                <w:rFonts w:ascii="Arial" w:hAnsi="Arial" w:cs="Arial"/>
                <w:b/>
                <w:bCs/>
                <w:sz w:val="18"/>
                <w:szCs w:val="18"/>
              </w:rPr>
            </w:pPr>
          </w:p>
          <w:p w:rsidR="006134A3" w:rsidRPr="00A22005" w:rsidRDefault="001C4ED1" w:rsidP="006134A3">
            <w:pPr>
              <w:rPr>
                <w:rFonts w:ascii="Arial" w:hAnsi="Arial" w:cs="Arial"/>
                <w:b/>
                <w:bCs/>
                <w:sz w:val="18"/>
                <w:szCs w:val="18"/>
              </w:rPr>
            </w:pPr>
            <w:r>
              <w:rPr>
                <w:rFonts w:ascii="Arial" w:hAnsi="Arial" w:cs="Arial"/>
                <w:b/>
                <w:bCs/>
                <w:sz w:val="18"/>
                <w:szCs w:val="18"/>
              </w:rPr>
              <w:t xml:space="preserve">PROCESO CONTABLE </w:t>
            </w:r>
          </w:p>
        </w:tc>
        <w:tc>
          <w:tcPr>
            <w:tcW w:w="1003" w:type="dxa"/>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2268" w:type="dxa"/>
            <w:gridSpan w:val="3"/>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1134" w:type="dxa"/>
            <w:gridSpan w:val="4"/>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1134" w:type="dxa"/>
            <w:gridSpan w:val="3"/>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2409" w:type="dxa"/>
            <w:gridSpan w:val="6"/>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1560" w:type="dxa"/>
            <w:gridSpan w:val="6"/>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3260" w:type="dxa"/>
            <w:gridSpan w:val="9"/>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r>
      <w:tr w:rsidR="005F01C6" w:rsidRPr="00A22005" w:rsidTr="005665A3">
        <w:trPr>
          <w:gridAfter w:val="6"/>
          <w:wAfter w:w="3329" w:type="dxa"/>
          <w:trHeight w:val="116"/>
        </w:trPr>
        <w:tc>
          <w:tcPr>
            <w:tcW w:w="984" w:type="dxa"/>
            <w:gridSpan w:val="3"/>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3116" w:type="dxa"/>
            <w:gridSpan w:val="5"/>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1003" w:type="dxa"/>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2268" w:type="dxa"/>
            <w:gridSpan w:val="3"/>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1134" w:type="dxa"/>
            <w:gridSpan w:val="4"/>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1134" w:type="dxa"/>
            <w:gridSpan w:val="3"/>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2409" w:type="dxa"/>
            <w:gridSpan w:val="6"/>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1560" w:type="dxa"/>
            <w:gridSpan w:val="6"/>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3260" w:type="dxa"/>
            <w:gridSpan w:val="9"/>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r>
      <w:tr w:rsidR="00E7190A" w:rsidRPr="00E90983" w:rsidTr="005665A3">
        <w:trPr>
          <w:gridAfter w:val="6"/>
          <w:wAfter w:w="3329" w:type="dxa"/>
          <w:trHeight w:val="303"/>
        </w:trPr>
        <w:tc>
          <w:tcPr>
            <w:tcW w:w="708" w:type="dxa"/>
            <w:tcBorders>
              <w:top w:val="single" w:sz="12" w:space="0" w:color="auto"/>
              <w:left w:val="single" w:sz="12" w:space="0" w:color="auto"/>
              <w:bottom w:val="nil"/>
              <w:right w:val="nil"/>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20"/>
                <w:szCs w:val="20"/>
              </w:rPr>
              <w:t>No. HALLAZGO</w:t>
            </w:r>
          </w:p>
        </w:tc>
        <w:tc>
          <w:tcPr>
            <w:tcW w:w="1560" w:type="dxa"/>
            <w:gridSpan w:val="3"/>
            <w:tcBorders>
              <w:top w:val="single" w:sz="8" w:space="0" w:color="auto"/>
              <w:left w:val="single" w:sz="8" w:space="0" w:color="auto"/>
              <w:bottom w:val="single" w:sz="8" w:space="0" w:color="auto"/>
              <w:right w:val="single" w:sz="8" w:space="0" w:color="auto"/>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20"/>
                <w:szCs w:val="20"/>
              </w:rPr>
              <w:t>RELACIÓN DE OBSERVACIONES FORMULADAS POR LA AGR</w:t>
            </w:r>
          </w:p>
        </w:tc>
        <w:tc>
          <w:tcPr>
            <w:tcW w:w="2835" w:type="dxa"/>
            <w:gridSpan w:val="5"/>
            <w:tcBorders>
              <w:top w:val="single" w:sz="12" w:space="0" w:color="auto"/>
              <w:left w:val="nil"/>
              <w:bottom w:val="nil"/>
              <w:right w:val="single" w:sz="8" w:space="0" w:color="auto"/>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20"/>
                <w:szCs w:val="20"/>
              </w:rPr>
              <w:t>RELACIÓN DE ACCIONES CORRECTIVAS  A DESARROLLAR</w:t>
            </w:r>
          </w:p>
        </w:tc>
        <w:tc>
          <w:tcPr>
            <w:tcW w:w="2268" w:type="dxa"/>
            <w:gridSpan w:val="3"/>
            <w:tcBorders>
              <w:top w:val="single" w:sz="12" w:space="0" w:color="auto"/>
              <w:left w:val="nil"/>
              <w:bottom w:val="nil"/>
              <w:right w:val="nil"/>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20"/>
                <w:szCs w:val="20"/>
              </w:rPr>
              <w:t>AREA Y RESPONSABLE DEL CUMPLIMIENTO DEL PLAN DE MEJORAMIENTO</w:t>
            </w:r>
          </w:p>
        </w:tc>
        <w:tc>
          <w:tcPr>
            <w:tcW w:w="1134" w:type="dxa"/>
            <w:gridSpan w:val="4"/>
            <w:tcBorders>
              <w:top w:val="single" w:sz="12" w:space="0" w:color="auto"/>
              <w:left w:val="single" w:sz="8" w:space="0" w:color="auto"/>
              <w:bottom w:val="nil"/>
              <w:right w:val="single" w:sz="8" w:space="0" w:color="auto"/>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20"/>
                <w:szCs w:val="20"/>
              </w:rPr>
              <w:t>CRONOGRAMA DE EJECUCIÓN</w:t>
            </w:r>
          </w:p>
        </w:tc>
        <w:tc>
          <w:tcPr>
            <w:tcW w:w="1134" w:type="dxa"/>
            <w:gridSpan w:val="3"/>
            <w:tcBorders>
              <w:top w:val="single" w:sz="12" w:space="0" w:color="auto"/>
              <w:left w:val="nil"/>
              <w:bottom w:val="nil"/>
              <w:right w:val="nil"/>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18"/>
                <w:szCs w:val="20"/>
              </w:rPr>
              <w:t>METAS CUANTIFICABLES</w:t>
            </w:r>
          </w:p>
        </w:tc>
        <w:tc>
          <w:tcPr>
            <w:tcW w:w="2409" w:type="dxa"/>
            <w:gridSpan w:val="6"/>
            <w:tcBorders>
              <w:top w:val="single" w:sz="12" w:space="0" w:color="auto"/>
              <w:left w:val="single" w:sz="8" w:space="0" w:color="auto"/>
              <w:bottom w:val="nil"/>
              <w:right w:val="single" w:sz="8" w:space="0" w:color="auto"/>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20"/>
                <w:szCs w:val="20"/>
              </w:rPr>
              <w:t>INDICADORES DE CUMPLIMIENTO</w:t>
            </w:r>
          </w:p>
        </w:tc>
        <w:tc>
          <w:tcPr>
            <w:tcW w:w="1560" w:type="dxa"/>
            <w:gridSpan w:val="6"/>
            <w:tcBorders>
              <w:top w:val="single" w:sz="12" w:space="0" w:color="auto"/>
              <w:left w:val="nil"/>
              <w:bottom w:val="nil"/>
              <w:right w:val="single" w:sz="12" w:space="0" w:color="auto"/>
            </w:tcBorders>
            <w:shd w:val="clear" w:color="000000" w:fill="C0C0C0"/>
            <w:vAlign w:val="center"/>
            <w:hideMark/>
          </w:tcPr>
          <w:p w:rsidR="006134A3" w:rsidRPr="00E90983" w:rsidRDefault="00820FED" w:rsidP="00E90983">
            <w:pPr>
              <w:jc w:val="center"/>
              <w:rPr>
                <w:rFonts w:ascii="Franklin Gothic Book" w:hAnsi="Franklin Gothic Book"/>
                <w:b/>
                <w:sz w:val="20"/>
                <w:szCs w:val="20"/>
              </w:rPr>
            </w:pPr>
            <w:r w:rsidRPr="00E90983">
              <w:rPr>
                <w:rFonts w:ascii="Franklin Gothic Book" w:hAnsi="Franklin Gothic Book"/>
                <w:b/>
                <w:sz w:val="20"/>
                <w:szCs w:val="20"/>
              </w:rPr>
              <w:t>ESTADO DE AVANCE</w:t>
            </w:r>
          </w:p>
        </w:tc>
        <w:tc>
          <w:tcPr>
            <w:tcW w:w="3260" w:type="dxa"/>
            <w:gridSpan w:val="9"/>
            <w:tcBorders>
              <w:top w:val="nil"/>
              <w:left w:val="nil"/>
              <w:bottom w:val="nil"/>
              <w:right w:val="nil"/>
            </w:tcBorders>
            <w:shd w:val="clear" w:color="auto" w:fill="auto"/>
            <w:noWrap/>
            <w:vAlign w:val="center"/>
            <w:hideMark/>
          </w:tcPr>
          <w:p w:rsidR="006134A3" w:rsidRPr="00E90983" w:rsidRDefault="006134A3" w:rsidP="00E90983">
            <w:pPr>
              <w:jc w:val="center"/>
              <w:rPr>
                <w:rFonts w:ascii="Franklin Gothic Book" w:hAnsi="Franklin Gothic Book"/>
                <w:b/>
                <w:sz w:val="20"/>
                <w:szCs w:val="20"/>
              </w:rPr>
            </w:pPr>
          </w:p>
        </w:tc>
      </w:tr>
      <w:tr w:rsidR="005F01C6" w:rsidRPr="00E90983" w:rsidTr="005665A3">
        <w:trPr>
          <w:gridAfter w:val="6"/>
          <w:wAfter w:w="3329" w:type="dxa"/>
          <w:trHeight w:val="794"/>
        </w:trPr>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15846" w:rsidRPr="00E90983" w:rsidRDefault="00815846" w:rsidP="009B2B49">
            <w:pPr>
              <w:jc w:val="center"/>
              <w:rPr>
                <w:rFonts w:ascii="Arial" w:hAnsi="Arial" w:cs="Arial"/>
                <w:sz w:val="18"/>
                <w:szCs w:val="18"/>
              </w:rPr>
            </w:pPr>
            <w:r w:rsidRPr="00E90983">
              <w:rPr>
                <w:rFonts w:ascii="Arial" w:hAnsi="Arial" w:cs="Arial"/>
                <w:sz w:val="18"/>
                <w:szCs w:val="18"/>
              </w:rPr>
              <w:t>1</w:t>
            </w:r>
          </w:p>
        </w:tc>
        <w:tc>
          <w:tcPr>
            <w:tcW w:w="1560" w:type="dxa"/>
            <w:gridSpan w:val="3"/>
            <w:tcBorders>
              <w:top w:val="nil"/>
              <w:left w:val="nil"/>
              <w:bottom w:val="single" w:sz="4" w:space="0" w:color="auto"/>
              <w:right w:val="nil"/>
            </w:tcBorders>
            <w:shd w:val="clear" w:color="auto" w:fill="auto"/>
            <w:vAlign w:val="center"/>
            <w:hideMark/>
          </w:tcPr>
          <w:p w:rsidR="00815846" w:rsidRPr="008E55F2" w:rsidRDefault="00815846" w:rsidP="009B2B49">
            <w:pPr>
              <w:pStyle w:val="Default"/>
              <w:jc w:val="both"/>
              <w:rPr>
                <w:sz w:val="16"/>
                <w:szCs w:val="16"/>
              </w:rPr>
            </w:pPr>
            <w:r w:rsidRPr="008E55F2">
              <w:rPr>
                <w:sz w:val="16"/>
                <w:szCs w:val="16"/>
              </w:rPr>
              <w:t xml:space="preserve">No se reflejaron los pasivos laborales por concepto de cesantías e intereses a las cesantías en los estados contables al 31/12/2013, de los funcionarios pertenecientes al régimen de Fondos Privados por un valor de $79.015.446 </w:t>
            </w:r>
          </w:p>
          <w:p w:rsidR="00815846" w:rsidRPr="008E55F2" w:rsidRDefault="00815846" w:rsidP="009B2B49">
            <w:pPr>
              <w:jc w:val="both"/>
              <w:rPr>
                <w:rFonts w:ascii="Arial" w:hAnsi="Arial" w:cs="Arial"/>
                <w:sz w:val="16"/>
                <w:szCs w:val="16"/>
                <w:lang w:val="es-CO"/>
              </w:rPr>
            </w:pPr>
          </w:p>
        </w:tc>
        <w:tc>
          <w:tcPr>
            <w:tcW w:w="2835"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815846" w:rsidRPr="008E55F2" w:rsidRDefault="00815846" w:rsidP="009B2B49">
            <w:pPr>
              <w:jc w:val="both"/>
              <w:rPr>
                <w:rFonts w:ascii="Arial" w:hAnsi="Arial" w:cs="Arial"/>
                <w:sz w:val="16"/>
                <w:szCs w:val="16"/>
              </w:rPr>
            </w:pPr>
            <w:r w:rsidRPr="008E55F2">
              <w:rPr>
                <w:rFonts w:ascii="Arial" w:hAnsi="Arial" w:cs="Arial"/>
                <w:sz w:val="16"/>
                <w:szCs w:val="16"/>
              </w:rPr>
              <w:t xml:space="preserve">Se aplicara la norma </w:t>
            </w:r>
          </w:p>
          <w:p w:rsidR="00815846" w:rsidRPr="008E55F2" w:rsidRDefault="00815846" w:rsidP="009B2B49">
            <w:pPr>
              <w:pStyle w:val="Default"/>
              <w:jc w:val="both"/>
              <w:rPr>
                <w:sz w:val="16"/>
                <w:szCs w:val="16"/>
              </w:rPr>
            </w:pPr>
            <w:r w:rsidRPr="008E55F2">
              <w:rPr>
                <w:sz w:val="16"/>
                <w:szCs w:val="16"/>
              </w:rPr>
              <w:t xml:space="preserve">Técnica Relativa a los Pasivos Laborales 9.1.2.4 que hace parte del Plan General de Contabilidad Pública, </w:t>
            </w:r>
          </w:p>
          <w:p w:rsidR="00815846" w:rsidRPr="008E55F2" w:rsidRDefault="00815846" w:rsidP="009B2B49">
            <w:pPr>
              <w:pStyle w:val="Default"/>
              <w:jc w:val="both"/>
              <w:rPr>
                <w:sz w:val="16"/>
                <w:szCs w:val="16"/>
              </w:rPr>
            </w:pPr>
            <w:r w:rsidRPr="008E55F2">
              <w:rPr>
                <w:sz w:val="16"/>
                <w:szCs w:val="16"/>
              </w:rPr>
              <w:t xml:space="preserve">de las obligaciones laborales por concepto de cesantías e intereses a las cesantías </w:t>
            </w:r>
          </w:p>
          <w:p w:rsidR="00815846" w:rsidRPr="008E55F2" w:rsidRDefault="00815846" w:rsidP="009B2B49">
            <w:pPr>
              <w:pStyle w:val="Default"/>
              <w:jc w:val="both"/>
              <w:rPr>
                <w:sz w:val="16"/>
                <w:szCs w:val="16"/>
              </w:rPr>
            </w:pPr>
            <w:r w:rsidRPr="008E55F2">
              <w:rPr>
                <w:sz w:val="16"/>
                <w:szCs w:val="16"/>
              </w:rPr>
              <w:t xml:space="preserve">de Fondos Privados </w:t>
            </w:r>
          </w:p>
          <w:p w:rsidR="00815846" w:rsidRPr="008E55F2" w:rsidRDefault="00815846" w:rsidP="009B2B49">
            <w:pPr>
              <w:pStyle w:val="Default"/>
              <w:jc w:val="both"/>
              <w:rPr>
                <w:sz w:val="16"/>
                <w:szCs w:val="16"/>
              </w:rPr>
            </w:pPr>
          </w:p>
          <w:p w:rsidR="00815846" w:rsidRPr="008E55F2" w:rsidRDefault="00815846" w:rsidP="009B2B49">
            <w:pPr>
              <w:pStyle w:val="Default"/>
              <w:jc w:val="both"/>
              <w:rPr>
                <w:sz w:val="16"/>
                <w:szCs w:val="16"/>
              </w:rPr>
            </w:pPr>
            <w:r w:rsidRPr="008E55F2">
              <w:rPr>
                <w:sz w:val="16"/>
                <w:szCs w:val="16"/>
              </w:rPr>
              <w:t xml:space="preserve"> </w:t>
            </w:r>
          </w:p>
          <w:p w:rsidR="00815846" w:rsidRPr="008E55F2" w:rsidRDefault="00815846" w:rsidP="009B2B49">
            <w:pPr>
              <w:jc w:val="both"/>
              <w:rPr>
                <w:rFonts w:ascii="Arial" w:hAnsi="Arial" w:cs="Arial"/>
                <w:sz w:val="16"/>
                <w:szCs w:val="16"/>
                <w:lang w:val="es-CO"/>
              </w:rPr>
            </w:pPr>
          </w:p>
        </w:tc>
        <w:tc>
          <w:tcPr>
            <w:tcW w:w="2268" w:type="dxa"/>
            <w:gridSpan w:val="3"/>
            <w:tcBorders>
              <w:top w:val="single" w:sz="8" w:space="0" w:color="auto"/>
              <w:left w:val="nil"/>
              <w:bottom w:val="single" w:sz="4" w:space="0" w:color="auto"/>
              <w:right w:val="single" w:sz="8" w:space="0" w:color="auto"/>
            </w:tcBorders>
            <w:shd w:val="clear" w:color="auto" w:fill="auto"/>
            <w:vAlign w:val="center"/>
            <w:hideMark/>
          </w:tcPr>
          <w:p w:rsidR="00815846" w:rsidRPr="008E55F2" w:rsidRDefault="00815846" w:rsidP="009B2B49">
            <w:pPr>
              <w:jc w:val="center"/>
              <w:rPr>
                <w:rFonts w:ascii="Arial" w:hAnsi="Arial" w:cs="Arial"/>
                <w:sz w:val="16"/>
                <w:szCs w:val="16"/>
              </w:rPr>
            </w:pPr>
            <w:r w:rsidRPr="008E55F2">
              <w:rPr>
                <w:rFonts w:ascii="Arial" w:hAnsi="Arial" w:cs="Arial"/>
                <w:sz w:val="16"/>
                <w:szCs w:val="16"/>
              </w:rPr>
              <w:t>Dirección Administrativa y Financiera – Secretario General, Profesional Especializados y Profesional Universitario</w:t>
            </w:r>
          </w:p>
        </w:tc>
        <w:tc>
          <w:tcPr>
            <w:tcW w:w="1134" w:type="dxa"/>
            <w:gridSpan w:val="4"/>
            <w:tcBorders>
              <w:top w:val="single" w:sz="8" w:space="0" w:color="auto"/>
              <w:left w:val="nil"/>
              <w:bottom w:val="single" w:sz="4" w:space="0" w:color="auto"/>
              <w:right w:val="nil"/>
            </w:tcBorders>
            <w:shd w:val="clear" w:color="auto" w:fill="auto"/>
            <w:vAlign w:val="center"/>
            <w:hideMark/>
          </w:tcPr>
          <w:p w:rsidR="00815846" w:rsidRPr="008E55F2" w:rsidRDefault="00400005" w:rsidP="009B2B49">
            <w:pPr>
              <w:rPr>
                <w:rFonts w:ascii="Arial" w:hAnsi="Arial" w:cs="Arial"/>
                <w:sz w:val="16"/>
                <w:szCs w:val="16"/>
              </w:rPr>
            </w:pPr>
            <w:r w:rsidRPr="008E55F2">
              <w:rPr>
                <w:rFonts w:ascii="Arial" w:hAnsi="Arial" w:cs="Arial"/>
                <w:sz w:val="16"/>
                <w:szCs w:val="16"/>
              </w:rPr>
              <w:t>Enero 01 al 31 de 2015</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815846" w:rsidRPr="008E55F2" w:rsidRDefault="00815846" w:rsidP="009B2B49">
            <w:pPr>
              <w:jc w:val="center"/>
              <w:rPr>
                <w:rFonts w:ascii="Arial" w:hAnsi="Arial" w:cs="Arial"/>
                <w:sz w:val="16"/>
                <w:szCs w:val="16"/>
              </w:rPr>
            </w:pPr>
            <w:r w:rsidRPr="008E55F2">
              <w:rPr>
                <w:rFonts w:ascii="Arial" w:hAnsi="Arial" w:cs="Arial"/>
                <w:sz w:val="16"/>
                <w:szCs w:val="16"/>
              </w:rPr>
              <w:t>100%</w:t>
            </w:r>
          </w:p>
        </w:tc>
        <w:tc>
          <w:tcPr>
            <w:tcW w:w="2409" w:type="dxa"/>
            <w:gridSpan w:val="6"/>
            <w:tcBorders>
              <w:top w:val="single" w:sz="8" w:space="0" w:color="auto"/>
              <w:left w:val="nil"/>
              <w:bottom w:val="single" w:sz="4" w:space="0" w:color="auto"/>
              <w:right w:val="single" w:sz="8" w:space="0" w:color="auto"/>
            </w:tcBorders>
            <w:shd w:val="clear" w:color="auto" w:fill="auto"/>
            <w:vAlign w:val="center"/>
            <w:hideMark/>
          </w:tcPr>
          <w:p w:rsidR="008C0A11" w:rsidRDefault="00815846" w:rsidP="009B2B49">
            <w:pPr>
              <w:rPr>
                <w:rFonts w:ascii="Arial" w:hAnsi="Arial" w:cs="Arial"/>
                <w:sz w:val="16"/>
                <w:szCs w:val="16"/>
              </w:rPr>
            </w:pPr>
            <w:r w:rsidRPr="008C0A11">
              <w:rPr>
                <w:rFonts w:ascii="Arial" w:hAnsi="Arial" w:cs="Arial"/>
                <w:sz w:val="16"/>
                <w:szCs w:val="16"/>
              </w:rPr>
              <w:t>Resolución</w:t>
            </w:r>
            <w:r w:rsidR="00400005" w:rsidRPr="008C0A11">
              <w:rPr>
                <w:rFonts w:ascii="Arial" w:hAnsi="Arial" w:cs="Arial"/>
                <w:sz w:val="16"/>
                <w:szCs w:val="16"/>
              </w:rPr>
              <w:t xml:space="preserve"> N. 000328  por medio de  la cual se constituyeron  las</w:t>
            </w:r>
            <w:r w:rsidRPr="008C0A11">
              <w:rPr>
                <w:rFonts w:ascii="Arial" w:hAnsi="Arial" w:cs="Arial"/>
                <w:sz w:val="16"/>
                <w:szCs w:val="16"/>
              </w:rPr>
              <w:t xml:space="preserve"> cuentas por pagar </w:t>
            </w:r>
            <w:r w:rsidR="00400005" w:rsidRPr="008C0A11">
              <w:rPr>
                <w:rFonts w:ascii="Arial" w:hAnsi="Arial" w:cs="Arial"/>
                <w:sz w:val="16"/>
                <w:szCs w:val="16"/>
              </w:rPr>
              <w:t xml:space="preserve"> a 31 Diciembre del 2014</w:t>
            </w:r>
            <w:r w:rsidR="00400005" w:rsidRPr="008C0A11">
              <w:rPr>
                <w:rFonts w:ascii="Arial" w:hAnsi="Arial" w:cs="Arial"/>
                <w:b/>
                <w:sz w:val="16"/>
                <w:szCs w:val="16"/>
              </w:rPr>
              <w:t>.</w:t>
            </w:r>
            <w:r w:rsidR="008C0A11" w:rsidRPr="008C0A11">
              <w:rPr>
                <w:rFonts w:ascii="Arial" w:hAnsi="Arial" w:cs="Arial"/>
                <w:b/>
                <w:sz w:val="16"/>
                <w:szCs w:val="16"/>
              </w:rPr>
              <w:t xml:space="preserve">  Soporte contable</w:t>
            </w:r>
            <w:r w:rsidR="008C0A11">
              <w:rPr>
                <w:rFonts w:ascii="Arial" w:hAnsi="Arial" w:cs="Arial"/>
                <w:sz w:val="16"/>
                <w:szCs w:val="16"/>
              </w:rPr>
              <w:t xml:space="preserve"> de los </w:t>
            </w:r>
            <w:r w:rsidR="008C0A11">
              <w:rPr>
                <w:rFonts w:ascii="Arial" w:hAnsi="Arial" w:cs="Arial"/>
                <w:b/>
                <w:sz w:val="16"/>
                <w:szCs w:val="16"/>
              </w:rPr>
              <w:t>F</w:t>
            </w:r>
            <w:r w:rsidR="008C0A11" w:rsidRPr="008C0A11">
              <w:rPr>
                <w:rFonts w:ascii="Arial" w:hAnsi="Arial" w:cs="Arial"/>
                <w:b/>
                <w:sz w:val="16"/>
                <w:szCs w:val="16"/>
              </w:rPr>
              <w:t>ondos  privados de cesantias</w:t>
            </w:r>
            <w:r w:rsidR="008C0A11">
              <w:rPr>
                <w:rFonts w:ascii="Arial" w:hAnsi="Arial" w:cs="Arial"/>
                <w:sz w:val="16"/>
                <w:szCs w:val="16"/>
              </w:rPr>
              <w:t xml:space="preserve"> con</w:t>
            </w:r>
            <w:r w:rsidR="008C0A11" w:rsidRPr="008C0A11">
              <w:rPr>
                <w:rFonts w:ascii="Arial" w:hAnsi="Arial" w:cs="Arial"/>
                <w:sz w:val="16"/>
                <w:szCs w:val="16"/>
              </w:rPr>
              <w:t xml:space="preserve"> </w:t>
            </w:r>
          </w:p>
          <w:p w:rsidR="00815846" w:rsidRDefault="008C0A11" w:rsidP="009B2B49">
            <w:pPr>
              <w:rPr>
                <w:rFonts w:ascii="Arial" w:hAnsi="Arial" w:cs="Arial"/>
                <w:sz w:val="16"/>
                <w:szCs w:val="16"/>
              </w:rPr>
            </w:pPr>
            <w:r w:rsidRPr="008C0A11">
              <w:rPr>
                <w:rFonts w:ascii="Arial" w:hAnsi="Arial" w:cs="Arial"/>
                <w:sz w:val="16"/>
                <w:szCs w:val="16"/>
              </w:rPr>
              <w:t>Certificado</w:t>
            </w:r>
            <w:r w:rsidR="00815846" w:rsidRPr="008C0A11">
              <w:rPr>
                <w:rFonts w:ascii="Arial" w:hAnsi="Arial" w:cs="Arial"/>
                <w:sz w:val="16"/>
                <w:szCs w:val="16"/>
              </w:rPr>
              <w:t xml:space="preserve"> disponibilidad presupuestal</w:t>
            </w:r>
            <w:r w:rsidR="00400005" w:rsidRPr="008C0A11">
              <w:rPr>
                <w:rFonts w:ascii="Arial" w:hAnsi="Arial" w:cs="Arial"/>
                <w:sz w:val="16"/>
                <w:szCs w:val="16"/>
              </w:rPr>
              <w:t xml:space="preserve"> N. 14-00359</w:t>
            </w:r>
            <w:r w:rsidR="00815846" w:rsidRPr="008C0A11">
              <w:rPr>
                <w:rFonts w:ascii="Arial" w:hAnsi="Arial" w:cs="Arial"/>
                <w:sz w:val="16"/>
                <w:szCs w:val="16"/>
              </w:rPr>
              <w:t>,</w:t>
            </w:r>
            <w:r w:rsidR="00400005" w:rsidRPr="008C0A11">
              <w:rPr>
                <w:rFonts w:ascii="Arial" w:hAnsi="Arial" w:cs="Arial"/>
                <w:sz w:val="16"/>
                <w:szCs w:val="16"/>
              </w:rPr>
              <w:t xml:space="preserve"> y</w:t>
            </w:r>
            <w:r w:rsidR="00815846" w:rsidRPr="008C0A11">
              <w:rPr>
                <w:rFonts w:ascii="Arial" w:hAnsi="Arial" w:cs="Arial"/>
                <w:sz w:val="16"/>
                <w:szCs w:val="16"/>
              </w:rPr>
              <w:t xml:space="preserve"> Registro presupuestal</w:t>
            </w:r>
            <w:r w:rsidR="00400005" w:rsidRPr="008C0A11">
              <w:rPr>
                <w:rFonts w:ascii="Arial" w:hAnsi="Arial" w:cs="Arial"/>
                <w:sz w:val="16"/>
                <w:szCs w:val="16"/>
              </w:rPr>
              <w:t xml:space="preserve"> N. 14-00612</w:t>
            </w:r>
            <w:r w:rsidR="00815846" w:rsidRPr="008C0A11">
              <w:rPr>
                <w:rFonts w:ascii="Arial" w:hAnsi="Arial" w:cs="Arial"/>
                <w:sz w:val="16"/>
                <w:szCs w:val="16"/>
              </w:rPr>
              <w:t xml:space="preserve">, </w:t>
            </w:r>
            <w:r w:rsidR="00400005" w:rsidRPr="008C0A11">
              <w:rPr>
                <w:rFonts w:ascii="Arial" w:hAnsi="Arial" w:cs="Arial"/>
                <w:sz w:val="16"/>
                <w:szCs w:val="16"/>
              </w:rPr>
              <w:t>N. 14-00613, N.14-000614.</w:t>
            </w:r>
            <w:r w:rsidR="00815846" w:rsidRPr="008C0A11">
              <w:rPr>
                <w:rFonts w:ascii="Arial" w:hAnsi="Arial" w:cs="Arial"/>
                <w:sz w:val="16"/>
                <w:szCs w:val="16"/>
              </w:rPr>
              <w:t xml:space="preserve"> </w:t>
            </w:r>
            <w:r w:rsidR="00400005" w:rsidRPr="008C0A11">
              <w:rPr>
                <w:rFonts w:ascii="Arial" w:hAnsi="Arial" w:cs="Arial"/>
                <w:sz w:val="16"/>
                <w:szCs w:val="16"/>
              </w:rPr>
              <w:t>Comprobante</w:t>
            </w:r>
            <w:r w:rsidR="00815846" w:rsidRPr="008C0A11">
              <w:rPr>
                <w:rFonts w:ascii="Arial" w:hAnsi="Arial" w:cs="Arial"/>
                <w:sz w:val="16"/>
                <w:szCs w:val="16"/>
              </w:rPr>
              <w:t xml:space="preserve"> General</w:t>
            </w:r>
            <w:r w:rsidR="00400005" w:rsidRPr="008C0A11">
              <w:rPr>
                <w:rFonts w:ascii="Arial" w:hAnsi="Arial" w:cs="Arial"/>
                <w:sz w:val="16"/>
                <w:szCs w:val="16"/>
              </w:rPr>
              <w:t xml:space="preserve"> N. 14-00633</w:t>
            </w:r>
            <w:r w:rsidR="00815846" w:rsidRPr="008C0A11">
              <w:rPr>
                <w:rFonts w:ascii="Arial" w:hAnsi="Arial" w:cs="Arial"/>
                <w:sz w:val="16"/>
                <w:szCs w:val="16"/>
              </w:rPr>
              <w:t>,</w:t>
            </w:r>
            <w:r w:rsidR="00400005" w:rsidRPr="008C0A11">
              <w:rPr>
                <w:rFonts w:ascii="Arial" w:hAnsi="Arial" w:cs="Arial"/>
                <w:sz w:val="16"/>
                <w:szCs w:val="16"/>
              </w:rPr>
              <w:t xml:space="preserve"> N. 14-00634, N. 14-00636</w:t>
            </w:r>
            <w:r w:rsidR="00815846" w:rsidRPr="008C0A11">
              <w:rPr>
                <w:rFonts w:ascii="Arial" w:hAnsi="Arial" w:cs="Arial"/>
                <w:sz w:val="16"/>
                <w:szCs w:val="16"/>
              </w:rPr>
              <w:t xml:space="preserve"> y comprobante</w:t>
            </w:r>
            <w:r w:rsidR="00475021" w:rsidRPr="008C0A11">
              <w:rPr>
                <w:rFonts w:ascii="Arial" w:hAnsi="Arial" w:cs="Arial"/>
                <w:sz w:val="16"/>
                <w:szCs w:val="16"/>
              </w:rPr>
              <w:t>s</w:t>
            </w:r>
            <w:r w:rsidR="00815846" w:rsidRPr="008C0A11">
              <w:rPr>
                <w:rFonts w:ascii="Arial" w:hAnsi="Arial" w:cs="Arial"/>
                <w:sz w:val="16"/>
                <w:szCs w:val="16"/>
              </w:rPr>
              <w:t xml:space="preserve">  Egreso</w:t>
            </w:r>
            <w:r w:rsidR="00475021" w:rsidRPr="008C0A11">
              <w:rPr>
                <w:rFonts w:ascii="Arial" w:hAnsi="Arial" w:cs="Arial"/>
                <w:sz w:val="16"/>
                <w:szCs w:val="16"/>
              </w:rPr>
              <w:t>s</w:t>
            </w:r>
            <w:r w:rsidR="00400005" w:rsidRPr="008C0A11">
              <w:rPr>
                <w:rFonts w:ascii="Arial" w:hAnsi="Arial" w:cs="Arial"/>
                <w:sz w:val="16"/>
                <w:szCs w:val="16"/>
              </w:rPr>
              <w:t xml:space="preserve"> N. </w:t>
            </w:r>
            <w:r w:rsidR="00475021" w:rsidRPr="008C0A11">
              <w:rPr>
                <w:rFonts w:ascii="Arial" w:hAnsi="Arial" w:cs="Arial"/>
                <w:sz w:val="16"/>
                <w:szCs w:val="16"/>
              </w:rPr>
              <w:t>15-00087 a N. 15-00088</w:t>
            </w:r>
            <w:proofErr w:type="gramStart"/>
            <w:r w:rsidR="00815846" w:rsidRPr="008C0A11">
              <w:rPr>
                <w:rFonts w:ascii="Arial" w:hAnsi="Arial" w:cs="Arial"/>
                <w:sz w:val="16"/>
                <w:szCs w:val="16"/>
              </w:rPr>
              <w:t>,</w:t>
            </w:r>
            <w:r w:rsidR="00475021" w:rsidRPr="008C0A11">
              <w:rPr>
                <w:rFonts w:ascii="Arial" w:hAnsi="Arial" w:cs="Arial"/>
                <w:sz w:val="16"/>
                <w:szCs w:val="16"/>
              </w:rPr>
              <w:t>y</w:t>
            </w:r>
            <w:proofErr w:type="gramEnd"/>
            <w:r w:rsidR="00475021" w:rsidRPr="008C0A11">
              <w:rPr>
                <w:rFonts w:ascii="Arial" w:hAnsi="Arial" w:cs="Arial"/>
                <w:sz w:val="16"/>
                <w:szCs w:val="16"/>
              </w:rPr>
              <w:t xml:space="preserve"> N. 15-00081 a N. 15-00085, y N. 15-00086,  y </w:t>
            </w:r>
            <w:r w:rsidR="00815846" w:rsidRPr="008C0A11">
              <w:rPr>
                <w:rFonts w:ascii="Arial" w:hAnsi="Arial" w:cs="Arial"/>
                <w:sz w:val="16"/>
                <w:szCs w:val="16"/>
              </w:rPr>
              <w:t xml:space="preserve">pago </w:t>
            </w:r>
            <w:r w:rsidR="00475021" w:rsidRPr="008C0A11">
              <w:rPr>
                <w:rFonts w:ascii="Arial" w:hAnsi="Arial" w:cs="Arial"/>
                <w:sz w:val="16"/>
                <w:szCs w:val="16"/>
              </w:rPr>
              <w:t>a</w:t>
            </w:r>
            <w:r w:rsidR="00815846" w:rsidRPr="008C0A11">
              <w:rPr>
                <w:rFonts w:ascii="Arial" w:hAnsi="Arial" w:cs="Arial"/>
                <w:sz w:val="16"/>
                <w:szCs w:val="16"/>
              </w:rPr>
              <w:t xml:space="preserve"> banco</w:t>
            </w:r>
            <w:r w:rsidR="00475021" w:rsidRPr="008C0A11">
              <w:rPr>
                <w:rFonts w:ascii="Arial" w:hAnsi="Arial" w:cs="Arial"/>
                <w:sz w:val="16"/>
                <w:szCs w:val="16"/>
              </w:rPr>
              <w:t>s</w:t>
            </w:r>
            <w:r>
              <w:rPr>
                <w:rFonts w:ascii="Arial" w:hAnsi="Arial" w:cs="Arial"/>
                <w:sz w:val="16"/>
                <w:szCs w:val="16"/>
              </w:rPr>
              <w:t xml:space="preserve">. </w:t>
            </w:r>
          </w:p>
          <w:p w:rsidR="008C0A11" w:rsidRDefault="008C0A11" w:rsidP="009B2B49">
            <w:pPr>
              <w:rPr>
                <w:rFonts w:ascii="Arial" w:hAnsi="Arial" w:cs="Arial"/>
                <w:b/>
                <w:sz w:val="16"/>
                <w:szCs w:val="16"/>
              </w:rPr>
            </w:pPr>
            <w:r w:rsidRPr="008C0A11">
              <w:rPr>
                <w:rFonts w:ascii="Arial" w:hAnsi="Arial" w:cs="Arial"/>
                <w:b/>
                <w:sz w:val="16"/>
                <w:szCs w:val="16"/>
              </w:rPr>
              <w:t>Soporte Contable</w:t>
            </w:r>
            <w:r>
              <w:rPr>
                <w:rFonts w:ascii="Arial" w:hAnsi="Arial" w:cs="Arial"/>
                <w:sz w:val="16"/>
                <w:szCs w:val="16"/>
              </w:rPr>
              <w:t xml:space="preserve"> de </w:t>
            </w:r>
            <w:r w:rsidRPr="008C0A11">
              <w:rPr>
                <w:rFonts w:ascii="Arial" w:hAnsi="Arial" w:cs="Arial"/>
                <w:b/>
                <w:sz w:val="16"/>
                <w:szCs w:val="16"/>
              </w:rPr>
              <w:t>Intereses a la cesantias</w:t>
            </w:r>
          </w:p>
          <w:p w:rsidR="008C0A11" w:rsidRPr="008C0A11" w:rsidRDefault="008E55F2" w:rsidP="009B2B49">
            <w:pPr>
              <w:rPr>
                <w:rFonts w:ascii="Arial" w:hAnsi="Arial" w:cs="Arial"/>
                <w:sz w:val="16"/>
                <w:szCs w:val="16"/>
              </w:rPr>
            </w:pPr>
            <w:r w:rsidRPr="000008C6">
              <w:rPr>
                <w:rFonts w:ascii="Arial" w:hAnsi="Arial" w:cs="Arial"/>
                <w:sz w:val="16"/>
                <w:szCs w:val="16"/>
              </w:rPr>
              <w:t>Certificado disponibilidad CD-14-00359 y CP-14-00615, CG-14-00635 y CE</w:t>
            </w:r>
            <w:r>
              <w:rPr>
                <w:rFonts w:ascii="Arial" w:hAnsi="Arial" w:cs="Arial"/>
                <w:b/>
                <w:sz w:val="16"/>
                <w:szCs w:val="16"/>
              </w:rPr>
              <w:t>-</w:t>
            </w:r>
            <w:r w:rsidR="000008C6" w:rsidRPr="000008C6">
              <w:rPr>
                <w:rFonts w:ascii="Arial" w:hAnsi="Arial" w:cs="Arial"/>
                <w:sz w:val="16"/>
                <w:szCs w:val="16"/>
              </w:rPr>
              <w:t>15-00018, y pago de transacción de</w:t>
            </w:r>
            <w:r w:rsidR="000008C6">
              <w:rPr>
                <w:rFonts w:ascii="Arial" w:hAnsi="Arial" w:cs="Arial"/>
                <w:b/>
                <w:sz w:val="16"/>
                <w:szCs w:val="16"/>
              </w:rPr>
              <w:t xml:space="preserve"> </w:t>
            </w:r>
            <w:r w:rsidR="000008C6" w:rsidRPr="000008C6">
              <w:rPr>
                <w:rFonts w:ascii="Arial" w:hAnsi="Arial" w:cs="Arial"/>
                <w:sz w:val="16"/>
                <w:szCs w:val="16"/>
              </w:rPr>
              <w:t>banco</w:t>
            </w:r>
          </w:p>
        </w:tc>
        <w:tc>
          <w:tcPr>
            <w:tcW w:w="1560" w:type="dxa"/>
            <w:gridSpan w:val="6"/>
            <w:tcBorders>
              <w:top w:val="single" w:sz="8" w:space="0" w:color="auto"/>
              <w:left w:val="nil"/>
              <w:bottom w:val="single" w:sz="4" w:space="0" w:color="auto"/>
              <w:right w:val="single" w:sz="8" w:space="0" w:color="auto"/>
            </w:tcBorders>
            <w:shd w:val="clear" w:color="auto" w:fill="auto"/>
            <w:vAlign w:val="center"/>
            <w:hideMark/>
          </w:tcPr>
          <w:p w:rsidR="00815846" w:rsidRPr="000008C6" w:rsidRDefault="00475021" w:rsidP="00475021">
            <w:pPr>
              <w:jc w:val="both"/>
              <w:rPr>
                <w:rFonts w:ascii="Arial" w:hAnsi="Arial" w:cs="Arial"/>
                <w:sz w:val="16"/>
                <w:szCs w:val="16"/>
              </w:rPr>
            </w:pPr>
            <w:r w:rsidRPr="000008C6">
              <w:rPr>
                <w:rFonts w:ascii="Arial" w:hAnsi="Arial" w:cs="Arial"/>
                <w:sz w:val="16"/>
                <w:szCs w:val="16"/>
              </w:rPr>
              <w:t xml:space="preserve">Indicador cumplido </w:t>
            </w:r>
            <w:r w:rsidR="008C0A11" w:rsidRPr="000008C6">
              <w:rPr>
                <w:rFonts w:ascii="Arial" w:hAnsi="Arial" w:cs="Arial"/>
                <w:sz w:val="16"/>
                <w:szCs w:val="16"/>
              </w:rPr>
              <w:t>a 31 de Enero</w:t>
            </w:r>
            <w:r w:rsidRPr="000008C6">
              <w:rPr>
                <w:rFonts w:ascii="Arial" w:hAnsi="Arial" w:cs="Arial"/>
                <w:sz w:val="16"/>
                <w:szCs w:val="16"/>
              </w:rPr>
              <w:t xml:space="preserve"> de </w:t>
            </w:r>
            <w:r w:rsidR="00815846" w:rsidRPr="000008C6">
              <w:rPr>
                <w:rFonts w:ascii="Arial" w:hAnsi="Arial" w:cs="Arial"/>
                <w:sz w:val="16"/>
                <w:szCs w:val="16"/>
              </w:rPr>
              <w:t xml:space="preserve">2015 </w:t>
            </w:r>
          </w:p>
        </w:tc>
        <w:tc>
          <w:tcPr>
            <w:tcW w:w="3260" w:type="dxa"/>
            <w:gridSpan w:val="9"/>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sz w:val="18"/>
                <w:szCs w:val="18"/>
              </w:rPr>
            </w:pPr>
          </w:p>
        </w:tc>
      </w:tr>
      <w:tr w:rsidR="00E90983" w:rsidRPr="00A22005" w:rsidTr="005665A3">
        <w:trPr>
          <w:gridAfter w:val="15"/>
          <w:wAfter w:w="6589" w:type="dxa"/>
          <w:trHeight w:val="970"/>
        </w:trPr>
        <w:tc>
          <w:tcPr>
            <w:tcW w:w="7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90983" w:rsidRPr="00A22005" w:rsidRDefault="00E90983" w:rsidP="009B2B49">
            <w:pPr>
              <w:jc w:val="center"/>
              <w:rPr>
                <w:rFonts w:ascii="Arial" w:hAnsi="Arial" w:cs="Arial"/>
                <w:sz w:val="20"/>
                <w:szCs w:val="20"/>
              </w:rPr>
            </w:pPr>
            <w:r>
              <w:rPr>
                <w:rFonts w:ascii="Arial" w:hAnsi="Arial" w:cs="Arial"/>
                <w:sz w:val="20"/>
                <w:szCs w:val="20"/>
              </w:rPr>
              <w:lastRenderedPageBreak/>
              <w:t>2</w:t>
            </w:r>
          </w:p>
        </w:tc>
        <w:tc>
          <w:tcPr>
            <w:tcW w:w="1560" w:type="dxa"/>
            <w:gridSpan w:val="3"/>
            <w:tcBorders>
              <w:top w:val="single" w:sz="4" w:space="0" w:color="auto"/>
              <w:left w:val="nil"/>
              <w:bottom w:val="single" w:sz="4" w:space="0" w:color="auto"/>
              <w:right w:val="single" w:sz="8" w:space="0" w:color="auto"/>
            </w:tcBorders>
            <w:shd w:val="clear" w:color="auto" w:fill="auto"/>
            <w:vAlign w:val="center"/>
            <w:hideMark/>
          </w:tcPr>
          <w:p w:rsidR="00E90983" w:rsidRPr="00E90983" w:rsidRDefault="00E90983" w:rsidP="00E90983">
            <w:pPr>
              <w:pStyle w:val="Default"/>
              <w:jc w:val="center"/>
              <w:rPr>
                <w:sz w:val="18"/>
                <w:szCs w:val="18"/>
              </w:rPr>
            </w:pPr>
            <w:r w:rsidRPr="000117F2">
              <w:rPr>
                <w:sz w:val="18"/>
                <w:szCs w:val="18"/>
              </w:rPr>
              <w:t xml:space="preserve">No se causaron contablemente los pasivos estimados </w:t>
            </w:r>
            <w:r w:rsidRPr="00E7190A">
              <w:rPr>
                <w:sz w:val="18"/>
                <w:szCs w:val="18"/>
              </w:rPr>
              <w:t>correspondientes a las vacaciones, la prima de vacaciones, la prima de servicios y la</w:t>
            </w:r>
            <w:r w:rsidRPr="000117F2">
              <w:rPr>
                <w:sz w:val="18"/>
                <w:szCs w:val="18"/>
              </w:rPr>
              <w:t xml:space="preserve"> bonificación por servicios prestados, al 31/12/2013.</w:t>
            </w:r>
            <w:r w:rsidRPr="00C52127">
              <w:rPr>
                <w:sz w:val="18"/>
                <w:szCs w:val="18"/>
              </w:rPr>
              <w:t xml:space="preserve"> </w:t>
            </w:r>
          </w:p>
        </w:tc>
        <w:tc>
          <w:tcPr>
            <w:tcW w:w="2835" w:type="dxa"/>
            <w:gridSpan w:val="5"/>
            <w:tcBorders>
              <w:top w:val="single" w:sz="4" w:space="0" w:color="auto"/>
              <w:left w:val="nil"/>
              <w:bottom w:val="single" w:sz="4" w:space="0" w:color="auto"/>
              <w:right w:val="single" w:sz="8" w:space="0" w:color="auto"/>
            </w:tcBorders>
            <w:shd w:val="clear" w:color="auto" w:fill="auto"/>
            <w:vAlign w:val="center"/>
            <w:hideMark/>
          </w:tcPr>
          <w:p w:rsidR="00E90983" w:rsidRPr="00276185" w:rsidRDefault="00E90983" w:rsidP="009B2B49">
            <w:pPr>
              <w:pStyle w:val="Default"/>
              <w:jc w:val="both"/>
              <w:rPr>
                <w:sz w:val="18"/>
                <w:szCs w:val="18"/>
              </w:rPr>
            </w:pPr>
            <w:r>
              <w:rPr>
                <w:sz w:val="18"/>
                <w:szCs w:val="18"/>
              </w:rPr>
              <w:t xml:space="preserve">Se realizara procedimiento según Plan General de Contabilidad Pública, Norma Técnica 9.1.2.6 Pasivos estimados, de las  cuentas: vacaciones, prima de vacacional, prima de servicios, bonificación por servicios prestados. </w:t>
            </w:r>
          </w:p>
        </w:tc>
        <w:tc>
          <w:tcPr>
            <w:tcW w:w="2268" w:type="dxa"/>
            <w:gridSpan w:val="3"/>
            <w:tcBorders>
              <w:top w:val="single" w:sz="4" w:space="0" w:color="auto"/>
              <w:left w:val="nil"/>
              <w:bottom w:val="single" w:sz="4" w:space="0" w:color="auto"/>
              <w:right w:val="single" w:sz="8" w:space="0" w:color="auto"/>
            </w:tcBorders>
            <w:shd w:val="clear" w:color="auto" w:fill="auto"/>
            <w:vAlign w:val="center"/>
            <w:hideMark/>
          </w:tcPr>
          <w:p w:rsidR="00E90983" w:rsidRPr="00A22005" w:rsidRDefault="00E90983" w:rsidP="009B2B49">
            <w:pPr>
              <w:jc w:val="center"/>
              <w:rPr>
                <w:rFonts w:ascii="Arial" w:hAnsi="Arial" w:cs="Arial"/>
                <w:sz w:val="18"/>
                <w:szCs w:val="18"/>
              </w:rPr>
            </w:pPr>
            <w:r w:rsidRPr="00A22005">
              <w:rPr>
                <w:rFonts w:ascii="Arial" w:hAnsi="Arial" w:cs="Arial"/>
                <w:sz w:val="18"/>
                <w:szCs w:val="18"/>
              </w:rPr>
              <w:t>Dirección Administrativa y Fina</w:t>
            </w:r>
            <w:r>
              <w:rPr>
                <w:rFonts w:ascii="Arial" w:hAnsi="Arial" w:cs="Arial"/>
                <w:sz w:val="18"/>
                <w:szCs w:val="18"/>
              </w:rPr>
              <w:t>nciera – Secretario General</w:t>
            </w:r>
            <w:r w:rsidRPr="00A22005">
              <w:rPr>
                <w:rFonts w:ascii="Arial" w:hAnsi="Arial" w:cs="Arial"/>
                <w:sz w:val="18"/>
                <w:szCs w:val="18"/>
              </w:rPr>
              <w:t>, Profesional Especializados y Profesional Universitario</w:t>
            </w:r>
          </w:p>
        </w:tc>
        <w:tc>
          <w:tcPr>
            <w:tcW w:w="1134" w:type="dxa"/>
            <w:gridSpan w:val="4"/>
            <w:tcBorders>
              <w:top w:val="single" w:sz="4" w:space="0" w:color="auto"/>
              <w:left w:val="nil"/>
              <w:bottom w:val="single" w:sz="4" w:space="0" w:color="auto"/>
              <w:right w:val="single" w:sz="8" w:space="0" w:color="auto"/>
            </w:tcBorders>
            <w:shd w:val="clear" w:color="auto" w:fill="auto"/>
            <w:vAlign w:val="center"/>
            <w:hideMark/>
          </w:tcPr>
          <w:p w:rsidR="001A7565" w:rsidRPr="00EC10A1" w:rsidRDefault="001A7565" w:rsidP="009B2B49">
            <w:pPr>
              <w:jc w:val="center"/>
              <w:rPr>
                <w:rFonts w:ascii="Arial" w:hAnsi="Arial" w:cs="Arial"/>
                <w:sz w:val="16"/>
                <w:szCs w:val="16"/>
              </w:rPr>
            </w:pPr>
            <w:r w:rsidRPr="00EC10A1">
              <w:rPr>
                <w:rFonts w:ascii="Arial" w:hAnsi="Arial" w:cs="Arial"/>
                <w:sz w:val="16"/>
                <w:szCs w:val="16"/>
              </w:rPr>
              <w:t xml:space="preserve">Enero 01 a 31 </w:t>
            </w:r>
            <w:r w:rsidR="00226CF0">
              <w:rPr>
                <w:rFonts w:ascii="Arial" w:hAnsi="Arial" w:cs="Arial"/>
                <w:sz w:val="16"/>
                <w:szCs w:val="16"/>
              </w:rPr>
              <w:t xml:space="preserve">Diciembre </w:t>
            </w:r>
            <w:r w:rsidRPr="00EC10A1">
              <w:rPr>
                <w:rFonts w:ascii="Arial" w:hAnsi="Arial" w:cs="Arial"/>
                <w:sz w:val="16"/>
                <w:szCs w:val="16"/>
              </w:rPr>
              <w:t xml:space="preserve"> 2015.</w:t>
            </w:r>
          </w:p>
          <w:p w:rsidR="00E90983" w:rsidRPr="00EC10A1" w:rsidRDefault="00E90983" w:rsidP="009B2B49">
            <w:pPr>
              <w:jc w:val="center"/>
              <w:rPr>
                <w:rFonts w:ascii="Arial" w:hAnsi="Arial" w:cs="Arial"/>
                <w:sz w:val="16"/>
                <w:szCs w:val="16"/>
              </w:rPr>
            </w:pPr>
          </w:p>
        </w:tc>
        <w:tc>
          <w:tcPr>
            <w:tcW w:w="1134" w:type="dxa"/>
            <w:gridSpan w:val="3"/>
            <w:tcBorders>
              <w:top w:val="single" w:sz="4" w:space="0" w:color="auto"/>
              <w:left w:val="nil"/>
              <w:bottom w:val="single" w:sz="4" w:space="0" w:color="auto"/>
              <w:right w:val="single" w:sz="8" w:space="0" w:color="auto"/>
            </w:tcBorders>
            <w:shd w:val="clear" w:color="auto" w:fill="auto"/>
            <w:vAlign w:val="center"/>
            <w:hideMark/>
          </w:tcPr>
          <w:p w:rsidR="00E90983" w:rsidRPr="00EC10A1" w:rsidRDefault="007C5686" w:rsidP="009B2B49">
            <w:pPr>
              <w:jc w:val="center"/>
              <w:rPr>
                <w:rFonts w:ascii="Arial" w:hAnsi="Arial" w:cs="Arial"/>
                <w:sz w:val="16"/>
                <w:szCs w:val="16"/>
              </w:rPr>
            </w:pPr>
            <w:r w:rsidRPr="00EC10A1">
              <w:rPr>
                <w:rFonts w:ascii="Arial" w:hAnsi="Arial" w:cs="Arial"/>
                <w:sz w:val="16"/>
                <w:szCs w:val="16"/>
              </w:rPr>
              <w:t>50</w:t>
            </w:r>
            <w:r w:rsidR="00E90983" w:rsidRPr="00EC10A1">
              <w:rPr>
                <w:rFonts w:ascii="Arial" w:hAnsi="Arial" w:cs="Arial"/>
                <w:sz w:val="16"/>
                <w:szCs w:val="16"/>
              </w:rPr>
              <w:t>%</w:t>
            </w:r>
          </w:p>
        </w:tc>
        <w:tc>
          <w:tcPr>
            <w:tcW w:w="2409" w:type="dxa"/>
            <w:gridSpan w:val="6"/>
            <w:tcBorders>
              <w:top w:val="single" w:sz="4" w:space="0" w:color="auto"/>
              <w:left w:val="nil"/>
              <w:bottom w:val="single" w:sz="4" w:space="0" w:color="auto"/>
              <w:right w:val="single" w:sz="8" w:space="0" w:color="auto"/>
            </w:tcBorders>
            <w:shd w:val="clear" w:color="auto" w:fill="auto"/>
            <w:vAlign w:val="center"/>
            <w:hideMark/>
          </w:tcPr>
          <w:p w:rsidR="00963C02" w:rsidRPr="00EC10A1" w:rsidRDefault="00E90983" w:rsidP="00963C02">
            <w:pPr>
              <w:rPr>
                <w:rFonts w:ascii="Arial" w:hAnsi="Arial" w:cs="Arial"/>
                <w:sz w:val="16"/>
                <w:szCs w:val="16"/>
              </w:rPr>
            </w:pPr>
            <w:r w:rsidRPr="00EC10A1">
              <w:rPr>
                <w:rFonts w:ascii="Arial" w:hAnsi="Arial" w:cs="Arial"/>
                <w:sz w:val="16"/>
                <w:szCs w:val="16"/>
              </w:rPr>
              <w:t>Soporte contable de</w:t>
            </w:r>
            <w:r w:rsidR="00862E9A" w:rsidRPr="00EC10A1">
              <w:rPr>
                <w:rFonts w:ascii="Arial" w:hAnsi="Arial" w:cs="Arial"/>
                <w:sz w:val="16"/>
                <w:szCs w:val="16"/>
              </w:rPr>
              <w:t>l</w:t>
            </w:r>
            <w:r w:rsidRPr="00EC10A1">
              <w:rPr>
                <w:rFonts w:ascii="Arial" w:hAnsi="Arial" w:cs="Arial"/>
                <w:sz w:val="16"/>
                <w:szCs w:val="16"/>
              </w:rPr>
              <w:t xml:space="preserve"> </w:t>
            </w:r>
            <w:r w:rsidR="001A7565" w:rsidRPr="00EC10A1">
              <w:rPr>
                <w:rFonts w:ascii="Arial" w:hAnsi="Arial" w:cs="Arial"/>
                <w:sz w:val="16"/>
                <w:szCs w:val="16"/>
              </w:rPr>
              <w:t xml:space="preserve"> pago de </w:t>
            </w:r>
            <w:r w:rsidR="001A7565" w:rsidRPr="00EC10A1">
              <w:rPr>
                <w:rFonts w:ascii="Arial" w:hAnsi="Arial" w:cs="Arial"/>
                <w:b/>
                <w:sz w:val="16"/>
                <w:szCs w:val="16"/>
              </w:rPr>
              <w:t>Prima de Vacaciones</w:t>
            </w:r>
            <w:r w:rsidR="001A7565" w:rsidRPr="00EC10A1">
              <w:rPr>
                <w:rFonts w:ascii="Arial" w:hAnsi="Arial" w:cs="Arial"/>
                <w:sz w:val="16"/>
                <w:szCs w:val="16"/>
              </w:rPr>
              <w:t xml:space="preserve">, con certificado disponibilidad </w:t>
            </w:r>
            <w:r w:rsidR="00862E9A" w:rsidRPr="00EC10A1">
              <w:rPr>
                <w:rFonts w:ascii="Arial" w:hAnsi="Arial" w:cs="Arial"/>
                <w:sz w:val="16"/>
                <w:szCs w:val="16"/>
              </w:rPr>
              <w:t>C</w:t>
            </w:r>
            <w:r w:rsidR="001A7565" w:rsidRPr="00EC10A1">
              <w:rPr>
                <w:rFonts w:ascii="Arial" w:hAnsi="Arial" w:cs="Arial"/>
                <w:sz w:val="16"/>
                <w:szCs w:val="16"/>
              </w:rPr>
              <w:t>D-15-</w:t>
            </w:r>
            <w:r w:rsidR="00862E9A" w:rsidRPr="00EC10A1">
              <w:rPr>
                <w:rFonts w:ascii="Arial" w:hAnsi="Arial" w:cs="Arial"/>
                <w:sz w:val="16"/>
                <w:szCs w:val="16"/>
              </w:rPr>
              <w:t xml:space="preserve"> 00002  y  CP  15-0001, CG 15-00001, y C</w:t>
            </w:r>
            <w:r w:rsidR="00963C02" w:rsidRPr="00EC10A1">
              <w:rPr>
                <w:rFonts w:ascii="Arial" w:hAnsi="Arial" w:cs="Arial"/>
                <w:sz w:val="16"/>
                <w:szCs w:val="16"/>
              </w:rPr>
              <w:t>E-15-0001.</w:t>
            </w:r>
          </w:p>
          <w:p w:rsidR="00963C02" w:rsidRDefault="003155DC" w:rsidP="00963C02">
            <w:pPr>
              <w:rPr>
                <w:rFonts w:ascii="Arial" w:hAnsi="Arial" w:cs="Arial"/>
                <w:sz w:val="16"/>
                <w:szCs w:val="16"/>
              </w:rPr>
            </w:pPr>
            <w:r w:rsidRPr="00EC10A1">
              <w:rPr>
                <w:rFonts w:ascii="Arial" w:hAnsi="Arial" w:cs="Arial"/>
                <w:b/>
                <w:sz w:val="16"/>
                <w:szCs w:val="16"/>
              </w:rPr>
              <w:t>Bonificación por servicios Prestados</w:t>
            </w:r>
            <w:r w:rsidRPr="00EC10A1">
              <w:rPr>
                <w:rFonts w:ascii="Arial" w:hAnsi="Arial" w:cs="Arial"/>
                <w:sz w:val="16"/>
                <w:szCs w:val="16"/>
              </w:rPr>
              <w:t xml:space="preserve"> con CD-15 </w:t>
            </w:r>
            <w:r w:rsidR="000E25D2" w:rsidRPr="00EC10A1">
              <w:rPr>
                <w:rFonts w:ascii="Arial" w:hAnsi="Arial" w:cs="Arial"/>
                <w:sz w:val="16"/>
                <w:szCs w:val="16"/>
              </w:rPr>
              <w:t>-00031 y CP 15-00012</w:t>
            </w:r>
            <w:r w:rsidR="00260674">
              <w:rPr>
                <w:rFonts w:ascii="Arial" w:hAnsi="Arial" w:cs="Arial"/>
                <w:sz w:val="16"/>
                <w:szCs w:val="16"/>
              </w:rPr>
              <w:t>, NM  15-0001, CE-15-00033</w:t>
            </w:r>
            <w:r w:rsidR="009B1757">
              <w:rPr>
                <w:rFonts w:ascii="Arial" w:hAnsi="Arial" w:cs="Arial"/>
                <w:sz w:val="16"/>
                <w:szCs w:val="16"/>
              </w:rPr>
              <w:t xml:space="preserve">. </w:t>
            </w:r>
          </w:p>
          <w:p w:rsidR="00682819" w:rsidRPr="00226CF0" w:rsidRDefault="00682819" w:rsidP="00963C02">
            <w:pPr>
              <w:rPr>
                <w:rFonts w:ascii="Arial" w:hAnsi="Arial" w:cs="Arial"/>
                <w:sz w:val="16"/>
                <w:szCs w:val="16"/>
                <w:lang w:val="en-US"/>
              </w:rPr>
            </w:pPr>
            <w:r w:rsidRPr="00226CF0">
              <w:rPr>
                <w:rFonts w:ascii="Arial" w:hAnsi="Arial" w:cs="Arial"/>
                <w:sz w:val="16"/>
                <w:szCs w:val="16"/>
                <w:lang w:val="en-US"/>
              </w:rPr>
              <w:t>CD 15-00060,CP 15-00068</w:t>
            </w:r>
          </w:p>
          <w:p w:rsidR="00682819" w:rsidRPr="00226CF0" w:rsidRDefault="00682819" w:rsidP="00963C02">
            <w:pPr>
              <w:rPr>
                <w:rFonts w:ascii="Arial" w:hAnsi="Arial" w:cs="Arial"/>
                <w:sz w:val="16"/>
                <w:szCs w:val="16"/>
                <w:lang w:val="en-US"/>
              </w:rPr>
            </w:pPr>
            <w:r w:rsidRPr="00226CF0">
              <w:rPr>
                <w:rFonts w:ascii="Arial" w:hAnsi="Arial" w:cs="Arial"/>
                <w:sz w:val="16"/>
                <w:szCs w:val="16"/>
                <w:lang w:val="en-US"/>
              </w:rPr>
              <w:t>CG 15-00037,CE15-00100</w:t>
            </w:r>
          </w:p>
          <w:p w:rsidR="00A10AAC" w:rsidRPr="00A10AAC" w:rsidRDefault="00A10AAC" w:rsidP="00963C02">
            <w:pPr>
              <w:rPr>
                <w:rFonts w:ascii="Arial" w:hAnsi="Arial" w:cs="Arial"/>
                <w:sz w:val="16"/>
                <w:szCs w:val="16"/>
                <w:lang w:val="en-US"/>
              </w:rPr>
            </w:pPr>
            <w:r w:rsidRPr="00A10AAC">
              <w:rPr>
                <w:rFonts w:ascii="Arial" w:hAnsi="Arial" w:cs="Arial"/>
                <w:sz w:val="16"/>
                <w:szCs w:val="16"/>
                <w:lang w:val="en-US"/>
              </w:rPr>
              <w:t>CD 15-00062,CP 15-00075, NM 15-00005, CE 15-00108</w:t>
            </w:r>
          </w:p>
          <w:p w:rsidR="00A10AAC" w:rsidRDefault="00A10AAC" w:rsidP="00963C02">
            <w:pPr>
              <w:rPr>
                <w:rFonts w:ascii="Arial" w:hAnsi="Arial" w:cs="Arial"/>
                <w:sz w:val="16"/>
                <w:szCs w:val="16"/>
                <w:lang w:val="en-US"/>
              </w:rPr>
            </w:pPr>
            <w:r w:rsidRPr="00A10AAC">
              <w:rPr>
                <w:rFonts w:ascii="Arial" w:hAnsi="Arial" w:cs="Arial"/>
                <w:sz w:val="16"/>
                <w:szCs w:val="16"/>
                <w:lang w:val="en-US"/>
              </w:rPr>
              <w:t>NC 15-00012</w:t>
            </w:r>
          </w:p>
          <w:p w:rsidR="00682819" w:rsidRPr="00A10AAC" w:rsidRDefault="00682819" w:rsidP="00963C02">
            <w:pPr>
              <w:rPr>
                <w:rFonts w:ascii="Arial" w:hAnsi="Arial" w:cs="Arial"/>
                <w:sz w:val="16"/>
                <w:szCs w:val="16"/>
                <w:lang w:val="en-US"/>
              </w:rPr>
            </w:pPr>
            <w:r>
              <w:rPr>
                <w:rFonts w:ascii="Arial" w:hAnsi="Arial" w:cs="Arial"/>
                <w:sz w:val="16"/>
                <w:szCs w:val="16"/>
                <w:lang w:val="en-US"/>
              </w:rPr>
              <w:t>CD 15-00078, CP 15-000100 a CP 15-000106, CG 15-000650 a CG 15-00065 a CG 15-00071, CE 15-00160 a CE 15-00162, CE 15-00179, CE 15-00184, 15-00185</w:t>
            </w:r>
          </w:p>
          <w:p w:rsidR="009B1757" w:rsidRDefault="000E25D2" w:rsidP="00963C02">
            <w:pPr>
              <w:rPr>
                <w:rFonts w:ascii="Arial" w:hAnsi="Arial" w:cs="Arial"/>
                <w:sz w:val="16"/>
                <w:szCs w:val="16"/>
              </w:rPr>
            </w:pPr>
            <w:r w:rsidRPr="00260674">
              <w:rPr>
                <w:rFonts w:ascii="Arial" w:hAnsi="Arial" w:cs="Arial"/>
                <w:b/>
                <w:sz w:val="16"/>
                <w:szCs w:val="16"/>
              </w:rPr>
              <w:t>Vacaciones:</w:t>
            </w:r>
            <w:r w:rsidRPr="00EC10A1">
              <w:rPr>
                <w:rFonts w:ascii="Arial" w:hAnsi="Arial" w:cs="Arial"/>
                <w:sz w:val="16"/>
                <w:szCs w:val="16"/>
              </w:rPr>
              <w:t xml:space="preserve"> CD 15-00</w:t>
            </w:r>
            <w:r w:rsidR="00260674">
              <w:rPr>
                <w:rFonts w:ascii="Arial" w:hAnsi="Arial" w:cs="Arial"/>
                <w:sz w:val="16"/>
                <w:szCs w:val="16"/>
              </w:rPr>
              <w:t xml:space="preserve">033 y CP 15-00014 con NM-15-00003, CE15-00035, </w:t>
            </w:r>
            <w:r w:rsidRPr="00EC10A1">
              <w:rPr>
                <w:rFonts w:ascii="Arial" w:hAnsi="Arial" w:cs="Arial"/>
                <w:sz w:val="16"/>
                <w:szCs w:val="16"/>
              </w:rPr>
              <w:t xml:space="preserve"> </w:t>
            </w:r>
          </w:p>
          <w:p w:rsidR="009B1757" w:rsidRDefault="009B1757" w:rsidP="00963C02">
            <w:pPr>
              <w:rPr>
                <w:rFonts w:ascii="Arial" w:hAnsi="Arial" w:cs="Arial"/>
                <w:sz w:val="16"/>
                <w:szCs w:val="16"/>
                <w:lang w:val="en-US"/>
              </w:rPr>
            </w:pPr>
            <w:r w:rsidRPr="009B1757">
              <w:rPr>
                <w:rFonts w:ascii="Arial" w:hAnsi="Arial" w:cs="Arial"/>
                <w:sz w:val="16"/>
                <w:szCs w:val="16"/>
                <w:lang w:val="en-US"/>
              </w:rPr>
              <w:t>CD 15-00052,CP CP 15-00060,CG 15-00031,CE 15-00104</w:t>
            </w:r>
            <w:r>
              <w:rPr>
                <w:rFonts w:ascii="Arial" w:hAnsi="Arial" w:cs="Arial"/>
                <w:sz w:val="16"/>
                <w:szCs w:val="16"/>
                <w:lang w:val="en-US"/>
              </w:rPr>
              <w:t>.</w:t>
            </w:r>
          </w:p>
          <w:p w:rsidR="009B1757" w:rsidRDefault="009B1757" w:rsidP="00963C02">
            <w:pPr>
              <w:rPr>
                <w:rFonts w:ascii="Arial" w:hAnsi="Arial" w:cs="Arial"/>
                <w:sz w:val="16"/>
                <w:szCs w:val="16"/>
                <w:lang w:val="en-US"/>
              </w:rPr>
            </w:pPr>
            <w:r>
              <w:rPr>
                <w:rFonts w:ascii="Arial" w:hAnsi="Arial" w:cs="Arial"/>
                <w:sz w:val="16"/>
                <w:szCs w:val="16"/>
                <w:lang w:val="en-US"/>
              </w:rPr>
              <w:t>CD 15-00054,CP 15-00062,CG 15-00033,CE15-00102.</w:t>
            </w:r>
          </w:p>
          <w:p w:rsidR="009B1757" w:rsidRPr="009B1757" w:rsidRDefault="009B1757" w:rsidP="009B1757">
            <w:pPr>
              <w:rPr>
                <w:rFonts w:ascii="Arial" w:hAnsi="Arial" w:cs="Arial"/>
                <w:sz w:val="16"/>
                <w:szCs w:val="16"/>
                <w:lang w:val="en-US"/>
              </w:rPr>
            </w:pPr>
            <w:r>
              <w:rPr>
                <w:rFonts w:ascii="Arial" w:hAnsi="Arial" w:cs="Arial"/>
                <w:sz w:val="16"/>
                <w:szCs w:val="16"/>
                <w:lang w:val="en-US"/>
              </w:rPr>
              <w:t>CD 15-00055,CP 15-00063,CG 15-00034,CE 15-00101.</w:t>
            </w:r>
          </w:p>
          <w:p w:rsidR="009B1757" w:rsidRDefault="009B1757" w:rsidP="00963C02">
            <w:pPr>
              <w:rPr>
                <w:rFonts w:ascii="Arial" w:hAnsi="Arial" w:cs="Arial"/>
                <w:sz w:val="16"/>
                <w:szCs w:val="16"/>
              </w:rPr>
            </w:pPr>
            <w:r w:rsidRPr="009B1757">
              <w:rPr>
                <w:rFonts w:ascii="Arial" w:hAnsi="Arial" w:cs="Arial"/>
                <w:b/>
                <w:sz w:val="16"/>
                <w:szCs w:val="16"/>
              </w:rPr>
              <w:t>Prima de servicios</w:t>
            </w:r>
            <w:r>
              <w:rPr>
                <w:rFonts w:ascii="Arial" w:hAnsi="Arial" w:cs="Arial"/>
                <w:sz w:val="16"/>
                <w:szCs w:val="16"/>
              </w:rPr>
              <w:t>: CD-15-00051, Cp 15-00059,CG 15-00030,CE 15-00098.</w:t>
            </w:r>
          </w:p>
          <w:p w:rsidR="009B1757" w:rsidRPr="009B1757" w:rsidRDefault="009B1757" w:rsidP="00963C02">
            <w:pPr>
              <w:rPr>
                <w:rFonts w:ascii="Arial" w:hAnsi="Arial" w:cs="Arial"/>
                <w:sz w:val="16"/>
                <w:szCs w:val="16"/>
                <w:lang w:val="en-US"/>
              </w:rPr>
            </w:pPr>
            <w:r w:rsidRPr="009B1757">
              <w:rPr>
                <w:rFonts w:ascii="Arial" w:hAnsi="Arial" w:cs="Arial"/>
                <w:sz w:val="16"/>
                <w:szCs w:val="16"/>
                <w:lang w:val="en-US"/>
              </w:rPr>
              <w:t>CD 15-00052,CP 15-00060,CG 15-00031,CE 15-00104.</w:t>
            </w:r>
          </w:p>
          <w:p w:rsidR="009B1757" w:rsidRDefault="009B1757" w:rsidP="009B1757">
            <w:pPr>
              <w:rPr>
                <w:rFonts w:ascii="Arial" w:hAnsi="Arial" w:cs="Arial"/>
                <w:sz w:val="16"/>
                <w:szCs w:val="16"/>
                <w:lang w:val="en-US"/>
              </w:rPr>
            </w:pPr>
            <w:r>
              <w:rPr>
                <w:rFonts w:ascii="Arial" w:hAnsi="Arial" w:cs="Arial"/>
                <w:sz w:val="16"/>
                <w:szCs w:val="16"/>
                <w:lang w:val="en-US"/>
              </w:rPr>
              <w:t>CD 15-00054,CP 15-00062,CG 15-00033,CE15-00102.</w:t>
            </w:r>
          </w:p>
          <w:p w:rsidR="009B1757" w:rsidRPr="009B1757" w:rsidRDefault="009B1757" w:rsidP="009B1757">
            <w:pPr>
              <w:rPr>
                <w:rFonts w:ascii="Arial" w:hAnsi="Arial" w:cs="Arial"/>
                <w:sz w:val="16"/>
                <w:szCs w:val="16"/>
                <w:lang w:val="en-US"/>
              </w:rPr>
            </w:pPr>
            <w:r>
              <w:rPr>
                <w:rFonts w:ascii="Arial" w:hAnsi="Arial" w:cs="Arial"/>
                <w:sz w:val="16"/>
                <w:szCs w:val="16"/>
                <w:lang w:val="en-US"/>
              </w:rPr>
              <w:t>CD 15-00055,CP 15-00063,CG 15-00034,CE 15-00101.</w:t>
            </w:r>
          </w:p>
          <w:p w:rsidR="009B1757" w:rsidRPr="009B1757" w:rsidRDefault="009B1757" w:rsidP="00963C02">
            <w:pPr>
              <w:rPr>
                <w:rFonts w:ascii="Arial" w:hAnsi="Arial" w:cs="Arial"/>
                <w:sz w:val="18"/>
                <w:szCs w:val="18"/>
                <w:lang w:val="en-US"/>
              </w:rPr>
            </w:pPr>
          </w:p>
        </w:tc>
        <w:tc>
          <w:tcPr>
            <w:tcW w:w="1560" w:type="dxa"/>
            <w:gridSpan w:val="6"/>
            <w:tcBorders>
              <w:top w:val="single" w:sz="4" w:space="0" w:color="auto"/>
              <w:left w:val="nil"/>
              <w:bottom w:val="single" w:sz="4" w:space="0" w:color="auto"/>
              <w:right w:val="single" w:sz="4" w:space="0" w:color="auto"/>
            </w:tcBorders>
            <w:shd w:val="clear" w:color="auto" w:fill="auto"/>
            <w:vAlign w:val="center"/>
            <w:hideMark/>
          </w:tcPr>
          <w:p w:rsidR="00E90983" w:rsidRPr="00EC10A1" w:rsidRDefault="007C5686" w:rsidP="000E25D2">
            <w:pPr>
              <w:jc w:val="both"/>
              <w:rPr>
                <w:rFonts w:ascii="Arial" w:hAnsi="Arial" w:cs="Arial"/>
                <w:sz w:val="18"/>
                <w:szCs w:val="18"/>
              </w:rPr>
            </w:pPr>
            <w:r w:rsidRPr="00EC10A1">
              <w:rPr>
                <w:rFonts w:ascii="Arial" w:hAnsi="Arial" w:cs="Arial"/>
                <w:sz w:val="16"/>
                <w:szCs w:val="16"/>
              </w:rPr>
              <w:t>Indicador   cumpli</w:t>
            </w:r>
            <w:r w:rsidR="00682819">
              <w:rPr>
                <w:rFonts w:ascii="Arial" w:hAnsi="Arial" w:cs="Arial"/>
                <w:sz w:val="16"/>
                <w:szCs w:val="16"/>
              </w:rPr>
              <w:t xml:space="preserve">do a la fecha en un 50 % </w:t>
            </w:r>
            <w:r w:rsidRPr="00EC10A1">
              <w:rPr>
                <w:rFonts w:ascii="Arial" w:hAnsi="Arial" w:cs="Arial"/>
                <w:sz w:val="16"/>
                <w:szCs w:val="16"/>
              </w:rPr>
              <w:t xml:space="preserve">quedando pendiente la Ejecución </w:t>
            </w:r>
            <w:r w:rsidR="00EC10A1" w:rsidRPr="00EC10A1">
              <w:rPr>
                <w:rFonts w:ascii="Arial" w:hAnsi="Arial" w:cs="Arial"/>
                <w:sz w:val="16"/>
                <w:szCs w:val="16"/>
              </w:rPr>
              <w:t>de  gastos</w:t>
            </w:r>
            <w:r w:rsidRPr="00EC10A1">
              <w:rPr>
                <w:rFonts w:ascii="Arial" w:hAnsi="Arial" w:cs="Arial"/>
                <w:sz w:val="16"/>
                <w:szCs w:val="16"/>
              </w:rPr>
              <w:t xml:space="preserve"> por P</w:t>
            </w:r>
            <w:r w:rsidR="006C65B0">
              <w:rPr>
                <w:rFonts w:ascii="Arial" w:hAnsi="Arial" w:cs="Arial"/>
                <w:sz w:val="16"/>
                <w:szCs w:val="16"/>
              </w:rPr>
              <w:t>rima de Servicios  y Vacaciones.</w:t>
            </w:r>
          </w:p>
        </w:tc>
      </w:tr>
      <w:tr w:rsidR="005F01C6" w:rsidRPr="00A22005" w:rsidTr="005665A3">
        <w:trPr>
          <w:gridAfter w:val="6"/>
          <w:wAfter w:w="3329" w:type="dxa"/>
          <w:trHeight w:val="1094"/>
        </w:trPr>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846" w:rsidRPr="00E90983" w:rsidRDefault="00815846" w:rsidP="009B2B49">
            <w:pPr>
              <w:jc w:val="center"/>
              <w:rPr>
                <w:rFonts w:ascii="Franklin Gothic Book" w:hAnsi="Franklin Gothic Book" w:cs="Arial"/>
                <w:sz w:val="18"/>
                <w:szCs w:val="18"/>
              </w:rPr>
            </w:pPr>
            <w:r w:rsidRPr="00E90983">
              <w:rPr>
                <w:rFonts w:ascii="Franklin Gothic Book" w:hAnsi="Franklin Gothic Book" w:cs="Arial"/>
                <w:sz w:val="18"/>
                <w:szCs w:val="18"/>
              </w:rPr>
              <w:lastRenderedPageBreak/>
              <w:t>3</w:t>
            </w:r>
          </w:p>
        </w:tc>
        <w:tc>
          <w:tcPr>
            <w:tcW w:w="1560" w:type="dxa"/>
            <w:gridSpan w:val="3"/>
            <w:tcBorders>
              <w:top w:val="single" w:sz="8" w:space="0" w:color="auto"/>
              <w:left w:val="nil"/>
              <w:bottom w:val="single" w:sz="8" w:space="0" w:color="auto"/>
              <w:right w:val="nil"/>
            </w:tcBorders>
            <w:shd w:val="clear" w:color="auto" w:fill="auto"/>
            <w:vAlign w:val="center"/>
            <w:hideMark/>
          </w:tcPr>
          <w:p w:rsidR="00815846" w:rsidRPr="00E90983" w:rsidRDefault="00815846" w:rsidP="009B2B49">
            <w:pPr>
              <w:jc w:val="both"/>
              <w:rPr>
                <w:rFonts w:ascii="Franklin Gothic Book" w:hAnsi="Franklin Gothic Book" w:cs="Arial"/>
                <w:sz w:val="18"/>
                <w:szCs w:val="18"/>
              </w:rPr>
            </w:pPr>
            <w:r w:rsidRPr="00E90983">
              <w:rPr>
                <w:rFonts w:ascii="Franklin Gothic Book" w:hAnsi="Franklin Gothic Book" w:cs="Arial"/>
                <w:sz w:val="18"/>
                <w:szCs w:val="18"/>
              </w:rPr>
              <w:t>.</w:t>
            </w:r>
          </w:p>
          <w:p w:rsidR="00815846" w:rsidRPr="00E90983" w:rsidRDefault="00815846" w:rsidP="009B2B49">
            <w:pPr>
              <w:pStyle w:val="Default"/>
              <w:jc w:val="both"/>
              <w:rPr>
                <w:rFonts w:ascii="Franklin Gothic Book" w:hAnsi="Franklin Gothic Book"/>
                <w:sz w:val="18"/>
                <w:szCs w:val="18"/>
              </w:rPr>
            </w:pPr>
            <w:r w:rsidRPr="00E90983">
              <w:rPr>
                <w:rFonts w:ascii="Franklin Gothic Book" w:hAnsi="Franklin Gothic Book"/>
                <w:sz w:val="18"/>
                <w:szCs w:val="18"/>
              </w:rPr>
              <w:t xml:space="preserve">Recaudos por concepto de multas impuestas en los procesos administrativos sancionatorios fallados por la contraloría por $2.308 miles, no devueltos al erario municipal. </w:t>
            </w:r>
          </w:p>
          <w:p w:rsidR="00815846" w:rsidRPr="00E90983" w:rsidRDefault="00815846" w:rsidP="009B2B49">
            <w:pPr>
              <w:jc w:val="both"/>
              <w:rPr>
                <w:rFonts w:ascii="Franklin Gothic Book" w:hAnsi="Franklin Gothic Book" w:cs="Arial"/>
                <w:sz w:val="18"/>
                <w:szCs w:val="18"/>
                <w:lang w:val="es-CO"/>
              </w:rPr>
            </w:pPr>
          </w:p>
        </w:tc>
        <w:tc>
          <w:tcPr>
            <w:tcW w:w="2835"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815846" w:rsidRPr="00E90983" w:rsidRDefault="00815846" w:rsidP="009B2B49">
            <w:pPr>
              <w:jc w:val="both"/>
              <w:rPr>
                <w:rFonts w:ascii="Franklin Gothic Book" w:hAnsi="Franklin Gothic Book" w:cs="Arial"/>
                <w:sz w:val="18"/>
                <w:szCs w:val="18"/>
              </w:rPr>
            </w:pPr>
            <w:r w:rsidRPr="00E90983">
              <w:rPr>
                <w:rFonts w:ascii="Franklin Gothic Book" w:hAnsi="Franklin Gothic Book" w:cs="Arial"/>
                <w:sz w:val="18"/>
                <w:szCs w:val="18"/>
                <w:lang w:val="es-CO"/>
              </w:rPr>
              <w:t xml:space="preserve">Se </w:t>
            </w:r>
            <w:r w:rsidRPr="00E90983">
              <w:rPr>
                <w:rFonts w:ascii="Franklin Gothic Book" w:hAnsi="Franklin Gothic Book" w:cs="Arial"/>
                <w:sz w:val="18"/>
                <w:szCs w:val="18"/>
              </w:rPr>
              <w:t xml:space="preserve"> realizó devolución de </w:t>
            </w:r>
          </w:p>
          <w:p w:rsidR="00815846" w:rsidRPr="00E90983" w:rsidRDefault="00815846" w:rsidP="009B2B49">
            <w:pPr>
              <w:jc w:val="both"/>
              <w:rPr>
                <w:rFonts w:ascii="Franklin Gothic Book" w:hAnsi="Franklin Gothic Book" w:cs="Arial"/>
                <w:sz w:val="18"/>
                <w:szCs w:val="18"/>
              </w:rPr>
            </w:pPr>
            <w:r w:rsidRPr="00E90983">
              <w:rPr>
                <w:rFonts w:ascii="Franklin Gothic Book" w:hAnsi="Franklin Gothic Book" w:cs="Arial"/>
                <w:sz w:val="18"/>
                <w:szCs w:val="18"/>
              </w:rPr>
              <w:t>$ 2.308 miles, a la tesorería del Municipio de Bucaramanga,  en noviembre  de  2014. Así mismo se realizará un control permanente de los diferentes títulos y multas que ingresen a la entidad por concepto de los procesos de responsabilidad fiscal y determinado el fallo y entregado informe por parte de la oficina de Responsabilidad Fiscal, se procederá inmediatamente con la devolución de los dineros en caso de éstos corresponder al municipio o a la entidad o personas que el mismo fallo determine.</w:t>
            </w:r>
          </w:p>
          <w:p w:rsidR="00815846" w:rsidRPr="00E90983" w:rsidRDefault="00815846" w:rsidP="009B2B49">
            <w:pPr>
              <w:jc w:val="both"/>
              <w:rPr>
                <w:rFonts w:ascii="Franklin Gothic Book" w:hAnsi="Franklin Gothic Book" w:cs="Arial"/>
                <w:sz w:val="18"/>
                <w:szCs w:val="18"/>
              </w:rPr>
            </w:pPr>
          </w:p>
        </w:tc>
        <w:tc>
          <w:tcPr>
            <w:tcW w:w="2268" w:type="dxa"/>
            <w:gridSpan w:val="3"/>
            <w:tcBorders>
              <w:top w:val="single" w:sz="8" w:space="0" w:color="auto"/>
              <w:left w:val="nil"/>
              <w:bottom w:val="single" w:sz="8" w:space="0" w:color="auto"/>
              <w:right w:val="single" w:sz="8" w:space="0" w:color="auto"/>
            </w:tcBorders>
            <w:shd w:val="clear" w:color="auto" w:fill="auto"/>
            <w:vAlign w:val="center"/>
            <w:hideMark/>
          </w:tcPr>
          <w:p w:rsidR="00815846" w:rsidRPr="00E90983" w:rsidRDefault="00815846" w:rsidP="009B2B49">
            <w:pPr>
              <w:jc w:val="center"/>
              <w:rPr>
                <w:rFonts w:ascii="Franklin Gothic Book" w:hAnsi="Franklin Gothic Book" w:cs="Arial"/>
                <w:sz w:val="18"/>
                <w:szCs w:val="18"/>
              </w:rPr>
            </w:pPr>
            <w:r w:rsidRPr="00E90983">
              <w:rPr>
                <w:rFonts w:ascii="Franklin Gothic Book" w:hAnsi="Franklin Gothic Book" w:cs="Arial"/>
                <w:sz w:val="18"/>
                <w:szCs w:val="18"/>
              </w:rPr>
              <w:t>Dirección Administrativa y Financiera – Secretario General, Profesional Especializados y Profesional Universitario</w:t>
            </w:r>
          </w:p>
        </w:tc>
        <w:tc>
          <w:tcPr>
            <w:tcW w:w="1134" w:type="dxa"/>
            <w:gridSpan w:val="4"/>
            <w:tcBorders>
              <w:top w:val="single" w:sz="8" w:space="0" w:color="auto"/>
              <w:left w:val="nil"/>
              <w:bottom w:val="single" w:sz="8" w:space="0" w:color="auto"/>
              <w:right w:val="single" w:sz="8" w:space="0" w:color="auto"/>
            </w:tcBorders>
            <w:shd w:val="clear" w:color="auto" w:fill="auto"/>
            <w:vAlign w:val="center"/>
            <w:hideMark/>
          </w:tcPr>
          <w:p w:rsidR="00815846" w:rsidRPr="00E90983" w:rsidRDefault="00815846" w:rsidP="009B2B49">
            <w:pPr>
              <w:jc w:val="center"/>
              <w:rPr>
                <w:rFonts w:ascii="Franklin Gothic Book" w:hAnsi="Franklin Gothic Book" w:cs="Arial"/>
                <w:sz w:val="18"/>
                <w:szCs w:val="18"/>
              </w:rPr>
            </w:pPr>
            <w:r w:rsidRPr="00E90983">
              <w:rPr>
                <w:rFonts w:ascii="Franklin Gothic Book" w:hAnsi="Franklin Gothic Book" w:cs="Arial"/>
                <w:sz w:val="18"/>
                <w:szCs w:val="18"/>
              </w:rPr>
              <w:t>21 de Noviembre   2014.</w:t>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rsidR="00815846" w:rsidRPr="00E90983" w:rsidRDefault="00815846" w:rsidP="009B2B49">
            <w:pPr>
              <w:jc w:val="center"/>
              <w:rPr>
                <w:rFonts w:ascii="Franklin Gothic Book" w:hAnsi="Franklin Gothic Book" w:cs="Arial"/>
                <w:sz w:val="18"/>
                <w:szCs w:val="18"/>
              </w:rPr>
            </w:pPr>
            <w:r w:rsidRPr="00E90983">
              <w:rPr>
                <w:rFonts w:ascii="Franklin Gothic Book" w:hAnsi="Franklin Gothic Book" w:cs="Arial"/>
                <w:sz w:val="18"/>
                <w:szCs w:val="18"/>
              </w:rPr>
              <w:t>100%</w:t>
            </w:r>
          </w:p>
        </w:tc>
        <w:tc>
          <w:tcPr>
            <w:tcW w:w="2409" w:type="dxa"/>
            <w:gridSpan w:val="6"/>
            <w:tcBorders>
              <w:top w:val="single" w:sz="8" w:space="0" w:color="auto"/>
              <w:left w:val="nil"/>
              <w:bottom w:val="single" w:sz="8" w:space="0" w:color="auto"/>
              <w:right w:val="single" w:sz="8" w:space="0" w:color="auto"/>
            </w:tcBorders>
            <w:shd w:val="clear" w:color="auto" w:fill="auto"/>
            <w:vAlign w:val="center"/>
            <w:hideMark/>
          </w:tcPr>
          <w:p w:rsidR="00815846" w:rsidRPr="00E90983" w:rsidRDefault="00815846" w:rsidP="009B2B49">
            <w:pPr>
              <w:rPr>
                <w:rFonts w:ascii="Franklin Gothic Book" w:hAnsi="Franklin Gothic Book" w:cs="Arial"/>
                <w:sz w:val="18"/>
                <w:szCs w:val="18"/>
              </w:rPr>
            </w:pPr>
            <w:r w:rsidRPr="00E90983">
              <w:rPr>
                <w:rFonts w:ascii="Franklin Gothic Book" w:hAnsi="Franklin Gothic Book" w:cs="Arial"/>
                <w:sz w:val="18"/>
                <w:szCs w:val="18"/>
              </w:rPr>
              <w:t>Soporte  documento   Contable  Nota  de Contabilidad  NC-14-00122  y  M1  de la Tesorería del Municipio de Bucaramanga.</w:t>
            </w:r>
          </w:p>
        </w:tc>
        <w:tc>
          <w:tcPr>
            <w:tcW w:w="1560" w:type="dxa"/>
            <w:gridSpan w:val="6"/>
            <w:tcBorders>
              <w:top w:val="single" w:sz="8" w:space="0" w:color="auto"/>
              <w:left w:val="nil"/>
              <w:bottom w:val="single" w:sz="8" w:space="0" w:color="auto"/>
              <w:right w:val="single" w:sz="8" w:space="0" w:color="auto"/>
            </w:tcBorders>
            <w:shd w:val="clear" w:color="auto" w:fill="auto"/>
            <w:vAlign w:val="center"/>
            <w:hideMark/>
          </w:tcPr>
          <w:p w:rsidR="00815846" w:rsidRPr="00E90983" w:rsidRDefault="00815846" w:rsidP="009B2B49">
            <w:pPr>
              <w:jc w:val="both"/>
              <w:rPr>
                <w:rFonts w:ascii="Franklin Gothic Book" w:hAnsi="Franklin Gothic Book" w:cs="Arial"/>
                <w:sz w:val="18"/>
                <w:szCs w:val="18"/>
              </w:rPr>
            </w:pPr>
            <w:r w:rsidRPr="00E90983">
              <w:rPr>
                <w:rFonts w:ascii="Franklin Gothic Book" w:hAnsi="Franklin Gothic Book" w:cs="Arial"/>
                <w:sz w:val="18"/>
                <w:szCs w:val="18"/>
              </w:rPr>
              <w:t xml:space="preserve">Indicador cumplido   a  21 Noviembre de 2014. </w:t>
            </w:r>
          </w:p>
        </w:tc>
        <w:tc>
          <w:tcPr>
            <w:tcW w:w="3260" w:type="dxa"/>
            <w:gridSpan w:val="9"/>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20"/>
                <w:szCs w:val="20"/>
              </w:rPr>
            </w:pPr>
          </w:p>
        </w:tc>
      </w:tr>
      <w:tr w:rsidR="00815846" w:rsidRPr="00E90983" w:rsidTr="005665A3">
        <w:trPr>
          <w:trHeight w:val="110"/>
        </w:trPr>
        <w:tc>
          <w:tcPr>
            <w:tcW w:w="2268" w:type="dxa"/>
            <w:gridSpan w:val="4"/>
            <w:tcBorders>
              <w:top w:val="nil"/>
              <w:left w:val="nil"/>
              <w:bottom w:val="nil"/>
              <w:right w:val="nil"/>
            </w:tcBorders>
            <w:shd w:val="clear" w:color="auto" w:fill="auto"/>
            <w:noWrap/>
            <w:vAlign w:val="center"/>
            <w:hideMark/>
          </w:tcPr>
          <w:p w:rsidR="00815846" w:rsidRPr="00DD6963" w:rsidRDefault="00815846" w:rsidP="001C4ED1">
            <w:pPr>
              <w:ind w:right="-3979"/>
              <w:rPr>
                <w:rFonts w:ascii="Arial" w:hAnsi="Arial" w:cs="Arial"/>
                <w:b/>
                <w:sz w:val="18"/>
                <w:szCs w:val="18"/>
              </w:rPr>
            </w:pPr>
          </w:p>
          <w:p w:rsidR="00815846" w:rsidRPr="00DD6963" w:rsidRDefault="001C4ED1" w:rsidP="001C4ED1">
            <w:pPr>
              <w:ind w:right="-3979"/>
              <w:rPr>
                <w:rFonts w:ascii="Arial" w:hAnsi="Arial" w:cs="Arial"/>
                <w:b/>
                <w:sz w:val="18"/>
                <w:szCs w:val="18"/>
              </w:rPr>
            </w:pPr>
            <w:r w:rsidRPr="00DD6963">
              <w:rPr>
                <w:rFonts w:ascii="Arial" w:hAnsi="Arial" w:cs="Arial"/>
                <w:b/>
                <w:sz w:val="18"/>
                <w:szCs w:val="18"/>
              </w:rPr>
              <w:t xml:space="preserve">PROCESO PRESUPUESTAL </w:t>
            </w:r>
          </w:p>
        </w:tc>
        <w:tc>
          <w:tcPr>
            <w:tcW w:w="6873" w:type="dxa"/>
            <w:gridSpan w:val="14"/>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2691" w:type="dxa"/>
            <w:gridSpan w:val="6"/>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1699" w:type="dxa"/>
            <w:gridSpan w:val="6"/>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1557" w:type="dxa"/>
            <w:gridSpan w:val="4"/>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1721" w:type="dxa"/>
            <w:gridSpan w:val="5"/>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944" w:type="dxa"/>
            <w:gridSpan w:val="2"/>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2197" w:type="dxa"/>
            <w:gridSpan w:val="4"/>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247" w:type="dxa"/>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20"/>
                <w:szCs w:val="20"/>
              </w:rPr>
            </w:pPr>
          </w:p>
        </w:tc>
      </w:tr>
      <w:tr w:rsidR="005F01C6" w:rsidRPr="00A22005" w:rsidTr="00E973F4">
        <w:trPr>
          <w:gridAfter w:val="6"/>
          <w:wAfter w:w="3329" w:type="dxa"/>
          <w:trHeight w:val="110"/>
        </w:trPr>
        <w:tc>
          <w:tcPr>
            <w:tcW w:w="708" w:type="dxa"/>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b/>
                <w:bCs/>
                <w:sz w:val="20"/>
                <w:szCs w:val="20"/>
              </w:rPr>
            </w:pPr>
          </w:p>
        </w:tc>
        <w:tc>
          <w:tcPr>
            <w:tcW w:w="1560" w:type="dxa"/>
            <w:gridSpan w:val="3"/>
            <w:tcBorders>
              <w:top w:val="nil"/>
              <w:left w:val="nil"/>
              <w:bottom w:val="nil"/>
              <w:right w:val="nil"/>
            </w:tcBorders>
            <w:shd w:val="clear" w:color="auto" w:fill="auto"/>
            <w:noWrap/>
            <w:vAlign w:val="center"/>
            <w:hideMark/>
          </w:tcPr>
          <w:p w:rsidR="00815846" w:rsidRPr="00C52127" w:rsidRDefault="00815846" w:rsidP="006134A3">
            <w:pPr>
              <w:rPr>
                <w:rFonts w:ascii="Arial" w:hAnsi="Arial" w:cs="Arial"/>
                <w:b/>
                <w:bCs/>
                <w:sz w:val="18"/>
                <w:szCs w:val="18"/>
              </w:rPr>
            </w:pPr>
          </w:p>
        </w:tc>
        <w:tc>
          <w:tcPr>
            <w:tcW w:w="3118" w:type="dxa"/>
            <w:gridSpan w:val="6"/>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1985" w:type="dxa"/>
            <w:gridSpan w:val="2"/>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1559" w:type="dxa"/>
            <w:gridSpan w:val="5"/>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2410" w:type="dxa"/>
            <w:gridSpan w:val="6"/>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708" w:type="dxa"/>
            <w:gridSpan w:val="2"/>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3244" w:type="dxa"/>
            <w:gridSpan w:val="10"/>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1576" w:type="dxa"/>
            <w:gridSpan w:val="5"/>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20"/>
                <w:szCs w:val="20"/>
              </w:rPr>
            </w:pPr>
          </w:p>
        </w:tc>
      </w:tr>
      <w:tr w:rsidR="005F01C6" w:rsidRPr="00A22005" w:rsidTr="00E973F4">
        <w:trPr>
          <w:gridAfter w:val="6"/>
          <w:wAfter w:w="3329" w:type="dxa"/>
          <w:trHeight w:val="1007"/>
        </w:trPr>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846" w:rsidRPr="00E973F4" w:rsidRDefault="00815846" w:rsidP="009B2B49">
            <w:pPr>
              <w:jc w:val="center"/>
              <w:rPr>
                <w:rFonts w:ascii="Arial" w:hAnsi="Arial" w:cs="Arial"/>
                <w:sz w:val="14"/>
                <w:szCs w:val="14"/>
              </w:rPr>
            </w:pPr>
            <w:bookmarkStart w:id="0" w:name="_GoBack" w:colFirst="8" w:colLast="8"/>
            <w:r w:rsidRPr="00E973F4">
              <w:rPr>
                <w:rFonts w:ascii="Arial" w:hAnsi="Arial" w:cs="Arial"/>
                <w:sz w:val="14"/>
                <w:szCs w:val="14"/>
              </w:rPr>
              <w:t>4</w:t>
            </w:r>
          </w:p>
        </w:tc>
        <w:tc>
          <w:tcPr>
            <w:tcW w:w="1560" w:type="dxa"/>
            <w:gridSpan w:val="3"/>
            <w:tcBorders>
              <w:top w:val="single" w:sz="8" w:space="0" w:color="auto"/>
              <w:left w:val="nil"/>
              <w:bottom w:val="single" w:sz="8" w:space="0" w:color="auto"/>
              <w:right w:val="single" w:sz="8" w:space="0" w:color="auto"/>
            </w:tcBorders>
            <w:shd w:val="clear" w:color="auto" w:fill="auto"/>
            <w:vAlign w:val="center"/>
            <w:hideMark/>
          </w:tcPr>
          <w:p w:rsidR="00815846" w:rsidRPr="00E973F4" w:rsidRDefault="00815846" w:rsidP="009B2B49">
            <w:pPr>
              <w:pStyle w:val="Default"/>
              <w:jc w:val="both"/>
              <w:rPr>
                <w:sz w:val="14"/>
                <w:szCs w:val="14"/>
              </w:rPr>
            </w:pPr>
            <w:r w:rsidRPr="00E973F4">
              <w:rPr>
                <w:sz w:val="14"/>
                <w:szCs w:val="14"/>
              </w:rPr>
              <w:t xml:space="preserve">No se constituyeron reservas de cuentas por pagar al 31/12/2013, de las obligaciones laborales reales por $79.015.446. Los recursos se encontraban al 31/12/2013 en la cuenta No 650063597 del Banco de Occidente, y adicionalmente dichas obligaciones hacían parte de las apropiaciones presupuestales de la vigencia 2013. </w:t>
            </w:r>
          </w:p>
          <w:p w:rsidR="00815846" w:rsidRPr="00E973F4" w:rsidRDefault="00815846" w:rsidP="009B2B49">
            <w:pPr>
              <w:jc w:val="both"/>
              <w:rPr>
                <w:rFonts w:ascii="Arial" w:hAnsi="Arial" w:cs="Arial"/>
                <w:sz w:val="14"/>
                <w:szCs w:val="14"/>
                <w:lang w:val="es-CO"/>
              </w:rPr>
            </w:pPr>
          </w:p>
        </w:tc>
        <w:tc>
          <w:tcPr>
            <w:tcW w:w="3118" w:type="dxa"/>
            <w:gridSpan w:val="6"/>
            <w:tcBorders>
              <w:top w:val="single" w:sz="8" w:space="0" w:color="auto"/>
              <w:left w:val="nil"/>
              <w:bottom w:val="single" w:sz="8" w:space="0" w:color="auto"/>
              <w:right w:val="single" w:sz="8" w:space="0" w:color="auto"/>
            </w:tcBorders>
            <w:shd w:val="clear" w:color="auto" w:fill="auto"/>
            <w:vAlign w:val="center"/>
            <w:hideMark/>
          </w:tcPr>
          <w:p w:rsidR="00815846" w:rsidRPr="00E973F4" w:rsidRDefault="00815846" w:rsidP="009B2B49">
            <w:pPr>
              <w:jc w:val="both"/>
              <w:rPr>
                <w:rFonts w:ascii="Arial" w:hAnsi="Arial" w:cs="Arial"/>
                <w:sz w:val="14"/>
                <w:szCs w:val="14"/>
              </w:rPr>
            </w:pPr>
            <w:r w:rsidRPr="00E973F4">
              <w:rPr>
                <w:rFonts w:ascii="Arial" w:hAnsi="Arial" w:cs="Arial"/>
                <w:sz w:val="14"/>
                <w:szCs w:val="14"/>
              </w:rPr>
              <w:t xml:space="preserve"> </w:t>
            </w:r>
          </w:p>
          <w:p w:rsidR="00815846" w:rsidRPr="00E973F4" w:rsidRDefault="00815846" w:rsidP="009B2B49">
            <w:pPr>
              <w:pStyle w:val="Default"/>
              <w:jc w:val="both"/>
              <w:rPr>
                <w:sz w:val="14"/>
                <w:szCs w:val="14"/>
              </w:rPr>
            </w:pPr>
            <w:r w:rsidRPr="00E973F4">
              <w:rPr>
                <w:sz w:val="14"/>
                <w:szCs w:val="14"/>
                <w:lang w:val="es-ES"/>
              </w:rPr>
              <w:t>S</w:t>
            </w:r>
            <w:r w:rsidRPr="00E973F4">
              <w:rPr>
                <w:sz w:val="14"/>
                <w:szCs w:val="14"/>
              </w:rPr>
              <w:t>e constituyen reservas de cuentas por pagar al 31/12/2014, de las obligaciones laborales reales, según el</w:t>
            </w:r>
          </w:p>
          <w:p w:rsidR="00815846" w:rsidRPr="00E973F4" w:rsidRDefault="00815846" w:rsidP="009B2B49">
            <w:pPr>
              <w:pStyle w:val="Default"/>
              <w:jc w:val="both"/>
              <w:rPr>
                <w:sz w:val="14"/>
                <w:szCs w:val="14"/>
              </w:rPr>
            </w:pPr>
            <w:r w:rsidRPr="00E973F4">
              <w:rPr>
                <w:sz w:val="14"/>
                <w:szCs w:val="14"/>
              </w:rPr>
              <w:t xml:space="preserve">Artículo 120 del Decreto 076 de 2005 (Estatuto Orgánico de Presupuesto del Municipio de Bucaramanga y Artículo. 89 del Decreto 111 de 1996 (EOP). </w:t>
            </w:r>
          </w:p>
        </w:tc>
        <w:tc>
          <w:tcPr>
            <w:tcW w:w="1985" w:type="dxa"/>
            <w:gridSpan w:val="2"/>
            <w:tcBorders>
              <w:top w:val="single" w:sz="8" w:space="0" w:color="auto"/>
              <w:left w:val="nil"/>
              <w:bottom w:val="single" w:sz="8" w:space="0" w:color="auto"/>
              <w:right w:val="single" w:sz="8" w:space="0" w:color="auto"/>
            </w:tcBorders>
            <w:shd w:val="clear" w:color="auto" w:fill="auto"/>
            <w:vAlign w:val="center"/>
            <w:hideMark/>
          </w:tcPr>
          <w:p w:rsidR="00815846" w:rsidRPr="00E973F4" w:rsidRDefault="00815846" w:rsidP="009B2B49">
            <w:pPr>
              <w:jc w:val="center"/>
              <w:rPr>
                <w:rFonts w:ascii="Arial" w:hAnsi="Arial" w:cs="Arial"/>
                <w:sz w:val="14"/>
                <w:szCs w:val="14"/>
              </w:rPr>
            </w:pPr>
            <w:r w:rsidRPr="00E973F4">
              <w:rPr>
                <w:rFonts w:ascii="Arial" w:hAnsi="Arial" w:cs="Arial"/>
                <w:sz w:val="14"/>
                <w:szCs w:val="14"/>
              </w:rPr>
              <w:t>Dirección Administrativa y Financiera – Secretario General, Profesional Especializados y Profesional Universitario</w:t>
            </w:r>
          </w:p>
        </w:tc>
        <w:tc>
          <w:tcPr>
            <w:tcW w:w="1134" w:type="dxa"/>
            <w:gridSpan w:val="4"/>
            <w:tcBorders>
              <w:top w:val="single" w:sz="8" w:space="0" w:color="auto"/>
              <w:left w:val="nil"/>
              <w:bottom w:val="single" w:sz="8" w:space="0" w:color="auto"/>
              <w:right w:val="single" w:sz="8" w:space="0" w:color="auto"/>
            </w:tcBorders>
            <w:shd w:val="clear" w:color="auto" w:fill="auto"/>
            <w:vAlign w:val="center"/>
            <w:hideMark/>
          </w:tcPr>
          <w:p w:rsidR="00815846" w:rsidRPr="00E973F4" w:rsidRDefault="00232637" w:rsidP="009B2B49">
            <w:pPr>
              <w:jc w:val="center"/>
              <w:rPr>
                <w:rFonts w:ascii="Arial" w:hAnsi="Arial" w:cs="Arial"/>
                <w:sz w:val="14"/>
                <w:szCs w:val="14"/>
              </w:rPr>
            </w:pPr>
            <w:r w:rsidRPr="00E973F4">
              <w:rPr>
                <w:rFonts w:ascii="Arial" w:hAnsi="Arial" w:cs="Arial"/>
                <w:sz w:val="14"/>
                <w:szCs w:val="14"/>
              </w:rPr>
              <w:t>Enero 01 a 31 Enero</w:t>
            </w:r>
            <w:r w:rsidR="00815846" w:rsidRPr="00E973F4">
              <w:rPr>
                <w:rFonts w:ascii="Arial" w:hAnsi="Arial" w:cs="Arial"/>
                <w:sz w:val="14"/>
                <w:szCs w:val="14"/>
              </w:rPr>
              <w:t xml:space="preserve">  de 2015</w:t>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rsidR="00815846" w:rsidRPr="00E973F4" w:rsidRDefault="00815846" w:rsidP="009B2B49">
            <w:pPr>
              <w:jc w:val="center"/>
              <w:rPr>
                <w:rFonts w:ascii="Arial" w:hAnsi="Arial" w:cs="Arial"/>
                <w:sz w:val="14"/>
                <w:szCs w:val="14"/>
              </w:rPr>
            </w:pPr>
            <w:r w:rsidRPr="00E973F4">
              <w:rPr>
                <w:rFonts w:ascii="Arial" w:hAnsi="Arial" w:cs="Arial"/>
                <w:sz w:val="14"/>
                <w:szCs w:val="14"/>
              </w:rPr>
              <w:t>100%</w:t>
            </w:r>
          </w:p>
        </w:tc>
        <w:tc>
          <w:tcPr>
            <w:tcW w:w="2409" w:type="dxa"/>
            <w:gridSpan w:val="6"/>
            <w:tcBorders>
              <w:top w:val="single" w:sz="8" w:space="0" w:color="auto"/>
              <w:left w:val="nil"/>
              <w:bottom w:val="single" w:sz="8" w:space="0" w:color="auto"/>
              <w:right w:val="single" w:sz="8" w:space="0" w:color="auto"/>
            </w:tcBorders>
            <w:shd w:val="clear" w:color="auto" w:fill="auto"/>
            <w:vAlign w:val="center"/>
            <w:hideMark/>
          </w:tcPr>
          <w:p w:rsidR="00232637" w:rsidRPr="00E973F4" w:rsidRDefault="00232637" w:rsidP="001634A7">
            <w:pPr>
              <w:rPr>
                <w:rFonts w:ascii="Arial" w:hAnsi="Arial" w:cs="Arial"/>
                <w:sz w:val="14"/>
                <w:szCs w:val="14"/>
              </w:rPr>
            </w:pPr>
            <w:r w:rsidRPr="00E973F4">
              <w:rPr>
                <w:rFonts w:ascii="Arial" w:hAnsi="Arial" w:cs="Arial"/>
                <w:sz w:val="14"/>
                <w:szCs w:val="14"/>
              </w:rPr>
              <w:t>Resolución N. 000328  por medio de  la cual se constituyeron  las cuentas por pagar  a 31 Diciembre del 2014</w:t>
            </w:r>
          </w:p>
          <w:p w:rsidR="00232637" w:rsidRPr="00E973F4" w:rsidRDefault="00232637" w:rsidP="001634A7">
            <w:pPr>
              <w:rPr>
                <w:rFonts w:ascii="Arial" w:hAnsi="Arial" w:cs="Arial"/>
                <w:sz w:val="14"/>
                <w:szCs w:val="14"/>
              </w:rPr>
            </w:pPr>
            <w:r w:rsidRPr="00E973F4">
              <w:rPr>
                <w:rFonts w:ascii="Arial" w:hAnsi="Arial" w:cs="Arial"/>
                <w:sz w:val="14"/>
                <w:szCs w:val="14"/>
              </w:rPr>
              <w:t>Soporte  documento</w:t>
            </w:r>
          </w:p>
          <w:p w:rsidR="00232637" w:rsidRPr="00E973F4" w:rsidRDefault="00232637" w:rsidP="001634A7">
            <w:pPr>
              <w:rPr>
                <w:rFonts w:ascii="Arial" w:hAnsi="Arial" w:cs="Arial"/>
                <w:sz w:val="14"/>
                <w:szCs w:val="14"/>
              </w:rPr>
            </w:pPr>
            <w:r w:rsidRPr="00E973F4">
              <w:rPr>
                <w:rFonts w:ascii="Arial" w:hAnsi="Arial" w:cs="Arial"/>
                <w:sz w:val="14"/>
                <w:szCs w:val="14"/>
              </w:rPr>
              <w:t>Contable.</w:t>
            </w:r>
          </w:p>
          <w:p w:rsidR="006C65B0" w:rsidRPr="00E973F4" w:rsidRDefault="006C65B0" w:rsidP="006C65B0">
            <w:pPr>
              <w:rPr>
                <w:rFonts w:ascii="Arial" w:hAnsi="Arial" w:cs="Arial"/>
                <w:sz w:val="14"/>
                <w:szCs w:val="14"/>
              </w:rPr>
            </w:pPr>
            <w:r w:rsidRPr="00E973F4">
              <w:rPr>
                <w:rFonts w:ascii="Arial" w:hAnsi="Arial" w:cs="Arial"/>
                <w:b/>
                <w:sz w:val="14"/>
                <w:szCs w:val="14"/>
              </w:rPr>
              <w:t>Fondos  privados de cesantias</w:t>
            </w:r>
            <w:r w:rsidRPr="00E973F4">
              <w:rPr>
                <w:rFonts w:ascii="Arial" w:hAnsi="Arial" w:cs="Arial"/>
                <w:sz w:val="14"/>
                <w:szCs w:val="14"/>
              </w:rPr>
              <w:t xml:space="preserve"> </w:t>
            </w:r>
          </w:p>
          <w:p w:rsidR="00232637" w:rsidRPr="00E973F4" w:rsidRDefault="006C65B0" w:rsidP="006C65B0">
            <w:pPr>
              <w:rPr>
                <w:rFonts w:ascii="Arial" w:hAnsi="Arial" w:cs="Arial"/>
                <w:sz w:val="14"/>
                <w:szCs w:val="14"/>
              </w:rPr>
            </w:pPr>
            <w:r w:rsidRPr="00E973F4">
              <w:rPr>
                <w:rFonts w:ascii="Arial" w:hAnsi="Arial" w:cs="Arial"/>
                <w:sz w:val="14"/>
                <w:szCs w:val="14"/>
              </w:rPr>
              <w:t>Certificado disponibilidad presupuestal N. 14-00359, y Registro presupuestal N. 14-00612, N. 14-00613, N.14-000614. Comprobante General N. 14-00633, N. 14-00634, N. 14-00636</w:t>
            </w:r>
          </w:p>
          <w:p w:rsidR="006C65B0" w:rsidRPr="00E973F4" w:rsidRDefault="006C65B0" w:rsidP="006C65B0">
            <w:pPr>
              <w:rPr>
                <w:rFonts w:ascii="Arial" w:hAnsi="Arial" w:cs="Arial"/>
                <w:b/>
                <w:sz w:val="14"/>
                <w:szCs w:val="14"/>
              </w:rPr>
            </w:pPr>
            <w:r w:rsidRPr="00E973F4">
              <w:rPr>
                <w:rFonts w:ascii="Arial" w:hAnsi="Arial" w:cs="Arial"/>
                <w:b/>
                <w:sz w:val="14"/>
                <w:szCs w:val="14"/>
              </w:rPr>
              <w:t>Soporte Contable</w:t>
            </w:r>
            <w:r w:rsidRPr="00E973F4">
              <w:rPr>
                <w:rFonts w:ascii="Arial" w:hAnsi="Arial" w:cs="Arial"/>
                <w:sz w:val="14"/>
                <w:szCs w:val="14"/>
              </w:rPr>
              <w:t xml:space="preserve"> de </w:t>
            </w:r>
            <w:r w:rsidRPr="00E973F4">
              <w:rPr>
                <w:rFonts w:ascii="Arial" w:hAnsi="Arial" w:cs="Arial"/>
                <w:b/>
                <w:sz w:val="14"/>
                <w:szCs w:val="14"/>
              </w:rPr>
              <w:t>Intereses a la cesantias</w:t>
            </w:r>
          </w:p>
          <w:p w:rsidR="006C65B0" w:rsidRPr="00E973F4" w:rsidRDefault="006C65B0" w:rsidP="006C65B0">
            <w:pPr>
              <w:rPr>
                <w:rFonts w:ascii="Arial" w:hAnsi="Arial" w:cs="Arial"/>
                <w:sz w:val="14"/>
                <w:szCs w:val="14"/>
              </w:rPr>
            </w:pPr>
            <w:r w:rsidRPr="00E973F4">
              <w:rPr>
                <w:rFonts w:ascii="Arial" w:hAnsi="Arial" w:cs="Arial"/>
                <w:sz w:val="14"/>
                <w:szCs w:val="14"/>
              </w:rPr>
              <w:t>Certificado disponibilidad CD-14-00359 y CP-14-00615, CG-14-00635</w:t>
            </w:r>
          </w:p>
          <w:p w:rsidR="006C65B0" w:rsidRPr="00E973F4" w:rsidRDefault="001634A7" w:rsidP="006C65B0">
            <w:pPr>
              <w:rPr>
                <w:rFonts w:ascii="Arial" w:hAnsi="Arial" w:cs="Arial"/>
                <w:sz w:val="14"/>
                <w:szCs w:val="14"/>
              </w:rPr>
            </w:pPr>
            <w:r w:rsidRPr="00E973F4">
              <w:rPr>
                <w:rFonts w:ascii="Arial" w:hAnsi="Arial" w:cs="Arial"/>
                <w:sz w:val="14"/>
                <w:szCs w:val="14"/>
              </w:rPr>
              <w:t>(soportes anexados contenidos en el hallazgo 1)</w:t>
            </w:r>
          </w:p>
        </w:tc>
        <w:tc>
          <w:tcPr>
            <w:tcW w:w="1560" w:type="dxa"/>
            <w:gridSpan w:val="6"/>
            <w:tcBorders>
              <w:top w:val="single" w:sz="8" w:space="0" w:color="auto"/>
              <w:left w:val="nil"/>
              <w:bottom w:val="single" w:sz="8" w:space="0" w:color="auto"/>
              <w:right w:val="single" w:sz="8" w:space="0" w:color="auto"/>
            </w:tcBorders>
            <w:shd w:val="clear" w:color="auto" w:fill="auto"/>
            <w:vAlign w:val="center"/>
            <w:hideMark/>
          </w:tcPr>
          <w:p w:rsidR="00815846" w:rsidRPr="00E973F4" w:rsidRDefault="00232637" w:rsidP="009B2B49">
            <w:pPr>
              <w:jc w:val="both"/>
              <w:rPr>
                <w:rFonts w:ascii="Arial" w:hAnsi="Arial" w:cs="Arial"/>
                <w:sz w:val="14"/>
                <w:szCs w:val="14"/>
              </w:rPr>
            </w:pPr>
            <w:r w:rsidRPr="00E973F4">
              <w:rPr>
                <w:rFonts w:ascii="Arial" w:hAnsi="Arial" w:cs="Arial"/>
                <w:sz w:val="14"/>
                <w:szCs w:val="14"/>
              </w:rPr>
              <w:t>Indicador</w:t>
            </w:r>
            <w:r w:rsidR="00815846" w:rsidRPr="00E973F4">
              <w:rPr>
                <w:rFonts w:ascii="Arial" w:hAnsi="Arial" w:cs="Arial"/>
                <w:sz w:val="14"/>
                <w:szCs w:val="14"/>
              </w:rPr>
              <w:t xml:space="preserve"> cumplido a 31 de Diciembre  de la vigencia 2014. </w:t>
            </w:r>
          </w:p>
        </w:tc>
        <w:tc>
          <w:tcPr>
            <w:tcW w:w="3260" w:type="dxa"/>
            <w:gridSpan w:val="9"/>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20"/>
                <w:szCs w:val="20"/>
              </w:rPr>
            </w:pPr>
          </w:p>
        </w:tc>
      </w:tr>
      <w:bookmarkEnd w:id="0"/>
      <w:tr w:rsidR="005F01C6" w:rsidRPr="00A22005" w:rsidTr="00E973F4">
        <w:trPr>
          <w:gridAfter w:val="6"/>
          <w:wAfter w:w="3329" w:type="dxa"/>
          <w:trHeight w:val="174"/>
        </w:trPr>
        <w:tc>
          <w:tcPr>
            <w:tcW w:w="2268" w:type="dxa"/>
            <w:gridSpan w:val="4"/>
            <w:tcBorders>
              <w:top w:val="nil"/>
              <w:left w:val="nil"/>
              <w:bottom w:val="nil"/>
              <w:right w:val="nil"/>
            </w:tcBorders>
            <w:shd w:val="clear" w:color="auto" w:fill="auto"/>
            <w:noWrap/>
            <w:vAlign w:val="center"/>
            <w:hideMark/>
          </w:tcPr>
          <w:p w:rsidR="00E90983" w:rsidRDefault="00E90983" w:rsidP="00CE1331">
            <w:pPr>
              <w:pStyle w:val="Default"/>
              <w:rPr>
                <w:b/>
                <w:bCs/>
                <w:sz w:val="20"/>
                <w:szCs w:val="20"/>
              </w:rPr>
            </w:pPr>
          </w:p>
          <w:p w:rsidR="00815846" w:rsidRPr="00C52127" w:rsidRDefault="009B2B49" w:rsidP="00CE1331">
            <w:pPr>
              <w:pStyle w:val="Default"/>
              <w:rPr>
                <w:sz w:val="20"/>
                <w:szCs w:val="20"/>
              </w:rPr>
            </w:pPr>
            <w:r w:rsidRPr="00C52127">
              <w:rPr>
                <w:b/>
                <w:bCs/>
                <w:sz w:val="20"/>
                <w:szCs w:val="20"/>
              </w:rPr>
              <w:t xml:space="preserve">PROCESO </w:t>
            </w:r>
            <w:r w:rsidR="00815846" w:rsidRPr="00C52127">
              <w:rPr>
                <w:b/>
                <w:bCs/>
                <w:sz w:val="20"/>
                <w:szCs w:val="20"/>
              </w:rPr>
              <w:t xml:space="preserve"> CONTRATACIÓN </w:t>
            </w:r>
            <w:r w:rsidR="00E90983">
              <w:rPr>
                <w:b/>
                <w:bCs/>
                <w:sz w:val="20"/>
                <w:szCs w:val="20"/>
              </w:rPr>
              <w:t>A</w:t>
            </w:r>
            <w:r w:rsidR="00815846" w:rsidRPr="00C52127">
              <w:rPr>
                <w:b/>
                <w:bCs/>
                <w:sz w:val="20"/>
                <w:szCs w:val="20"/>
              </w:rPr>
              <w:t xml:space="preserve">DMINISTRATIVA </w:t>
            </w:r>
          </w:p>
          <w:p w:rsidR="00815846" w:rsidRPr="00C52127" w:rsidRDefault="00815846" w:rsidP="006134A3">
            <w:pPr>
              <w:rPr>
                <w:rFonts w:ascii="Arial" w:hAnsi="Arial" w:cs="Arial"/>
                <w:b/>
                <w:bCs/>
                <w:sz w:val="18"/>
                <w:szCs w:val="18"/>
              </w:rPr>
            </w:pPr>
          </w:p>
        </w:tc>
        <w:tc>
          <w:tcPr>
            <w:tcW w:w="3118" w:type="dxa"/>
            <w:gridSpan w:val="6"/>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p w:rsidR="00815846" w:rsidRPr="00A22005" w:rsidRDefault="00815846" w:rsidP="006134A3">
            <w:pPr>
              <w:rPr>
                <w:rFonts w:ascii="Arial" w:hAnsi="Arial" w:cs="Arial"/>
                <w:sz w:val="18"/>
                <w:szCs w:val="18"/>
              </w:rPr>
            </w:pPr>
          </w:p>
        </w:tc>
        <w:tc>
          <w:tcPr>
            <w:tcW w:w="1985" w:type="dxa"/>
            <w:gridSpan w:val="2"/>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992" w:type="dxa"/>
            <w:gridSpan w:val="3"/>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1843" w:type="dxa"/>
            <w:gridSpan w:val="5"/>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1842" w:type="dxa"/>
            <w:gridSpan w:val="5"/>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1418" w:type="dxa"/>
            <w:gridSpan w:val="4"/>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3402" w:type="dxa"/>
            <w:gridSpan w:val="11"/>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20"/>
                <w:szCs w:val="20"/>
              </w:rPr>
            </w:pPr>
          </w:p>
        </w:tc>
      </w:tr>
      <w:tr w:rsidR="005F01C6" w:rsidRPr="00C6748F" w:rsidTr="00E973F4">
        <w:trPr>
          <w:gridAfter w:val="6"/>
          <w:wAfter w:w="3329" w:type="dxa"/>
          <w:trHeight w:val="2069"/>
        </w:trPr>
        <w:tc>
          <w:tcPr>
            <w:tcW w:w="7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15846" w:rsidRPr="00C6748F" w:rsidRDefault="00815846" w:rsidP="006134A3">
            <w:pPr>
              <w:jc w:val="center"/>
              <w:rPr>
                <w:rFonts w:ascii="Arial" w:hAnsi="Arial" w:cs="Arial"/>
                <w:sz w:val="20"/>
                <w:szCs w:val="20"/>
              </w:rPr>
            </w:pPr>
            <w:r w:rsidRPr="00C6748F">
              <w:rPr>
                <w:rFonts w:ascii="Arial" w:hAnsi="Arial" w:cs="Arial"/>
                <w:sz w:val="20"/>
                <w:szCs w:val="20"/>
              </w:rPr>
              <w:t>5</w:t>
            </w:r>
          </w:p>
        </w:tc>
        <w:tc>
          <w:tcPr>
            <w:tcW w:w="2694" w:type="dxa"/>
            <w:gridSpan w:val="4"/>
            <w:tcBorders>
              <w:top w:val="single" w:sz="4" w:space="0" w:color="auto"/>
              <w:left w:val="nil"/>
              <w:bottom w:val="single" w:sz="4" w:space="0" w:color="auto"/>
              <w:right w:val="single" w:sz="8" w:space="0" w:color="auto"/>
            </w:tcBorders>
            <w:shd w:val="clear" w:color="auto" w:fill="auto"/>
            <w:vAlign w:val="center"/>
            <w:hideMark/>
          </w:tcPr>
          <w:p w:rsidR="00815846" w:rsidRPr="00C6748F" w:rsidRDefault="00815846" w:rsidP="00E90983">
            <w:pPr>
              <w:pStyle w:val="Default"/>
              <w:jc w:val="both"/>
              <w:rPr>
                <w:sz w:val="16"/>
                <w:szCs w:val="18"/>
              </w:rPr>
            </w:pPr>
            <w:r w:rsidRPr="00C6748F">
              <w:rPr>
                <w:sz w:val="16"/>
                <w:szCs w:val="18"/>
              </w:rPr>
              <w:t xml:space="preserve">De conformidad con lo rendido en cuenta y revisado en visita de </w:t>
            </w:r>
            <w:r w:rsidR="00E90983" w:rsidRPr="00C6748F">
              <w:rPr>
                <w:sz w:val="16"/>
                <w:szCs w:val="18"/>
              </w:rPr>
              <w:t>auditoría</w:t>
            </w:r>
            <w:r w:rsidRPr="00C6748F">
              <w:rPr>
                <w:sz w:val="16"/>
                <w:szCs w:val="18"/>
              </w:rPr>
              <w:t xml:space="preserve">, se celebraron cuarenta y siete (47) contratos para la prestación del servicio del área misional, correspondiente al 71% del total de la contratación efectuada, contratándose con el mismo personal en dos (2) ocasiones para la ejecución de la esencia del mismo objeto, para la prestación de labores misionales no eventuales sino permanentes </w:t>
            </w:r>
          </w:p>
        </w:tc>
        <w:tc>
          <w:tcPr>
            <w:tcW w:w="1984" w:type="dxa"/>
            <w:gridSpan w:val="5"/>
            <w:tcBorders>
              <w:top w:val="single" w:sz="4" w:space="0" w:color="auto"/>
              <w:left w:val="nil"/>
              <w:bottom w:val="single" w:sz="4" w:space="0" w:color="auto"/>
              <w:right w:val="single" w:sz="8" w:space="0" w:color="auto"/>
            </w:tcBorders>
            <w:shd w:val="clear" w:color="auto" w:fill="auto"/>
            <w:hideMark/>
          </w:tcPr>
          <w:p w:rsidR="00815846" w:rsidRPr="00C6748F" w:rsidRDefault="00815846" w:rsidP="00E90983">
            <w:pPr>
              <w:jc w:val="both"/>
              <w:rPr>
                <w:rFonts w:ascii="Arial" w:hAnsi="Arial" w:cs="Arial"/>
                <w:sz w:val="16"/>
                <w:szCs w:val="18"/>
              </w:rPr>
            </w:pPr>
            <w:r w:rsidRPr="00C6748F">
              <w:rPr>
                <w:rFonts w:ascii="Arial" w:hAnsi="Arial" w:cs="Arial"/>
                <w:sz w:val="16"/>
                <w:szCs w:val="18"/>
              </w:rPr>
              <w:t xml:space="preserve">La entidad de control fiscal, presentará al concejo de Bucaramanga, un estudio de reestructuración en el año 2015, para lo cual se adelantará un estudio de cargas laborales y se pedirá a la administración central los recursos necesarios para adelantarla y poder cumplir con las funciones misionales, mientras tanto se vincularan personal por CPS con el fin de dar cumplimiento al PGA 2015 y para cumplir con el plan estratégico suscrito por la señora contralora vigencia 2012-2015, solo por el tiempo necesario y especifico  (eventual) y determinándole  la labor a realizar.  </w:t>
            </w:r>
          </w:p>
          <w:p w:rsidR="00815846" w:rsidRPr="00C6748F" w:rsidRDefault="00815846" w:rsidP="00E90983">
            <w:pPr>
              <w:jc w:val="both"/>
              <w:rPr>
                <w:rFonts w:ascii="Arial" w:hAnsi="Arial" w:cs="Arial"/>
                <w:sz w:val="16"/>
                <w:szCs w:val="18"/>
              </w:rPr>
            </w:pPr>
          </w:p>
        </w:tc>
        <w:tc>
          <w:tcPr>
            <w:tcW w:w="1985" w:type="dxa"/>
            <w:gridSpan w:val="2"/>
            <w:tcBorders>
              <w:top w:val="single" w:sz="4" w:space="0" w:color="auto"/>
              <w:left w:val="nil"/>
              <w:bottom w:val="single" w:sz="4" w:space="0" w:color="auto"/>
              <w:right w:val="single" w:sz="8" w:space="0" w:color="auto"/>
            </w:tcBorders>
            <w:shd w:val="clear" w:color="auto" w:fill="auto"/>
            <w:vAlign w:val="center"/>
            <w:hideMark/>
          </w:tcPr>
          <w:p w:rsidR="00815846" w:rsidRPr="00C6748F" w:rsidRDefault="00815846" w:rsidP="00B15A74">
            <w:pPr>
              <w:jc w:val="center"/>
              <w:rPr>
                <w:rFonts w:ascii="Arial" w:hAnsi="Arial" w:cs="Arial"/>
                <w:sz w:val="18"/>
                <w:szCs w:val="18"/>
              </w:rPr>
            </w:pPr>
            <w:r w:rsidRPr="00C6748F">
              <w:rPr>
                <w:rFonts w:ascii="Arial" w:hAnsi="Arial" w:cs="Arial"/>
                <w:sz w:val="18"/>
                <w:szCs w:val="18"/>
              </w:rPr>
              <w:t xml:space="preserve">Contralora </w:t>
            </w:r>
          </w:p>
          <w:p w:rsidR="005665A3" w:rsidRPr="00C6748F" w:rsidRDefault="00815846" w:rsidP="00B15A74">
            <w:pPr>
              <w:jc w:val="center"/>
              <w:rPr>
                <w:rFonts w:ascii="Arial" w:hAnsi="Arial" w:cs="Arial"/>
                <w:sz w:val="18"/>
                <w:szCs w:val="18"/>
              </w:rPr>
            </w:pPr>
            <w:r w:rsidRPr="00C6748F">
              <w:rPr>
                <w:rFonts w:ascii="Arial" w:hAnsi="Arial" w:cs="Arial"/>
                <w:sz w:val="18"/>
                <w:szCs w:val="18"/>
              </w:rPr>
              <w:t xml:space="preserve">Secretario General </w:t>
            </w:r>
          </w:p>
          <w:p w:rsidR="00815846" w:rsidRPr="00C6748F" w:rsidRDefault="00815846" w:rsidP="00B15A74">
            <w:pPr>
              <w:jc w:val="center"/>
              <w:rPr>
                <w:rFonts w:ascii="Arial" w:hAnsi="Arial" w:cs="Arial"/>
                <w:sz w:val="18"/>
                <w:szCs w:val="18"/>
              </w:rPr>
            </w:pPr>
            <w:r w:rsidRPr="00C6748F">
              <w:rPr>
                <w:rFonts w:ascii="Arial" w:hAnsi="Arial" w:cs="Arial"/>
                <w:sz w:val="18"/>
                <w:szCs w:val="18"/>
              </w:rPr>
              <w:t>oficina jurídica</w:t>
            </w:r>
          </w:p>
          <w:p w:rsidR="00815846" w:rsidRPr="00C6748F" w:rsidRDefault="00815846" w:rsidP="00B15A74">
            <w:pPr>
              <w:jc w:val="center"/>
              <w:rPr>
                <w:rFonts w:ascii="Arial" w:hAnsi="Arial" w:cs="Arial"/>
                <w:sz w:val="18"/>
                <w:szCs w:val="18"/>
              </w:rPr>
            </w:pPr>
            <w:r w:rsidRPr="00C6748F">
              <w:rPr>
                <w:rFonts w:ascii="Arial" w:hAnsi="Arial" w:cs="Arial"/>
                <w:sz w:val="18"/>
                <w:szCs w:val="18"/>
              </w:rPr>
              <w:t>Subcontraloría</w:t>
            </w:r>
          </w:p>
          <w:p w:rsidR="00815846" w:rsidRPr="00C6748F" w:rsidRDefault="00815846" w:rsidP="00B15A74">
            <w:pPr>
              <w:jc w:val="center"/>
              <w:rPr>
                <w:rFonts w:ascii="Arial" w:hAnsi="Arial" w:cs="Arial"/>
                <w:sz w:val="18"/>
                <w:szCs w:val="18"/>
              </w:rPr>
            </w:pPr>
            <w:r w:rsidRPr="00C6748F">
              <w:rPr>
                <w:rFonts w:ascii="Arial" w:hAnsi="Arial" w:cs="Arial"/>
                <w:sz w:val="18"/>
                <w:szCs w:val="18"/>
              </w:rPr>
              <w:t>Contraloría auxiliar para la participación ciudadana Dirección Administrativa y Financiera –, Profesional Especializados y Profesional Universitario</w:t>
            </w:r>
          </w:p>
        </w:tc>
        <w:tc>
          <w:tcPr>
            <w:tcW w:w="992" w:type="dxa"/>
            <w:gridSpan w:val="3"/>
            <w:tcBorders>
              <w:top w:val="single" w:sz="4" w:space="0" w:color="auto"/>
              <w:left w:val="nil"/>
              <w:bottom w:val="single" w:sz="4" w:space="0" w:color="auto"/>
              <w:right w:val="single" w:sz="8" w:space="0" w:color="auto"/>
            </w:tcBorders>
            <w:shd w:val="clear" w:color="auto" w:fill="auto"/>
            <w:vAlign w:val="center"/>
            <w:hideMark/>
          </w:tcPr>
          <w:p w:rsidR="00815846" w:rsidRPr="00C6748F" w:rsidRDefault="00815846" w:rsidP="00B15A74">
            <w:pPr>
              <w:jc w:val="center"/>
              <w:rPr>
                <w:rFonts w:ascii="Arial" w:hAnsi="Arial" w:cs="Arial"/>
                <w:sz w:val="18"/>
                <w:szCs w:val="18"/>
              </w:rPr>
            </w:pPr>
            <w:r w:rsidRPr="00C6748F">
              <w:rPr>
                <w:rFonts w:ascii="Arial" w:hAnsi="Arial" w:cs="Arial"/>
                <w:sz w:val="18"/>
                <w:szCs w:val="18"/>
              </w:rPr>
              <w:t>El primer semestre del 2015</w:t>
            </w:r>
          </w:p>
        </w:tc>
        <w:tc>
          <w:tcPr>
            <w:tcW w:w="1843" w:type="dxa"/>
            <w:gridSpan w:val="5"/>
            <w:tcBorders>
              <w:top w:val="single" w:sz="4" w:space="0" w:color="auto"/>
              <w:left w:val="nil"/>
              <w:bottom w:val="single" w:sz="4" w:space="0" w:color="auto"/>
              <w:right w:val="single" w:sz="8" w:space="0" w:color="auto"/>
            </w:tcBorders>
            <w:shd w:val="clear" w:color="auto" w:fill="auto"/>
            <w:vAlign w:val="center"/>
            <w:hideMark/>
          </w:tcPr>
          <w:p w:rsidR="00815846" w:rsidRPr="00C6748F" w:rsidRDefault="00815846" w:rsidP="006134A3">
            <w:pPr>
              <w:jc w:val="center"/>
              <w:rPr>
                <w:rFonts w:ascii="Arial" w:hAnsi="Arial" w:cs="Arial"/>
                <w:sz w:val="18"/>
                <w:szCs w:val="18"/>
              </w:rPr>
            </w:pPr>
            <w:r w:rsidRPr="00C6748F">
              <w:rPr>
                <w:rFonts w:ascii="Arial" w:hAnsi="Arial" w:cs="Arial"/>
                <w:sz w:val="18"/>
                <w:szCs w:val="18"/>
              </w:rPr>
              <w:t>100%</w:t>
            </w:r>
          </w:p>
        </w:tc>
        <w:tc>
          <w:tcPr>
            <w:tcW w:w="1842" w:type="dxa"/>
            <w:gridSpan w:val="5"/>
            <w:tcBorders>
              <w:top w:val="single" w:sz="4" w:space="0" w:color="auto"/>
              <w:left w:val="nil"/>
              <w:bottom w:val="single" w:sz="4" w:space="0" w:color="auto"/>
              <w:right w:val="single" w:sz="8" w:space="0" w:color="auto"/>
            </w:tcBorders>
            <w:shd w:val="clear" w:color="auto" w:fill="auto"/>
            <w:vAlign w:val="center"/>
            <w:hideMark/>
          </w:tcPr>
          <w:p w:rsidR="00815846" w:rsidRPr="00C6748F" w:rsidRDefault="00B513EA" w:rsidP="00A1002E">
            <w:pPr>
              <w:jc w:val="both"/>
              <w:rPr>
                <w:rFonts w:ascii="Arial" w:hAnsi="Arial" w:cs="Arial"/>
                <w:sz w:val="18"/>
                <w:szCs w:val="18"/>
              </w:rPr>
            </w:pPr>
            <w:r w:rsidRPr="00C6748F">
              <w:rPr>
                <w:rFonts w:ascii="Arial" w:hAnsi="Arial" w:cs="Arial"/>
                <w:sz w:val="18"/>
                <w:szCs w:val="18"/>
              </w:rPr>
              <w:t xml:space="preserve">Se profirió el Acuerdo Municipal No </w:t>
            </w:r>
            <w:r w:rsidR="00815846" w:rsidRPr="00C6748F">
              <w:rPr>
                <w:rFonts w:ascii="Arial" w:hAnsi="Arial" w:cs="Arial"/>
                <w:sz w:val="18"/>
                <w:szCs w:val="18"/>
              </w:rPr>
              <w:t xml:space="preserve"> </w:t>
            </w:r>
            <w:r w:rsidR="0077562A" w:rsidRPr="00C6748F">
              <w:rPr>
                <w:rFonts w:ascii="Arial" w:hAnsi="Arial" w:cs="Arial"/>
                <w:sz w:val="18"/>
                <w:szCs w:val="18"/>
              </w:rPr>
              <w:t>0</w:t>
            </w:r>
            <w:r w:rsidRPr="00C6748F">
              <w:rPr>
                <w:rFonts w:ascii="Arial" w:hAnsi="Arial" w:cs="Arial"/>
                <w:sz w:val="18"/>
                <w:szCs w:val="18"/>
              </w:rPr>
              <w:t>06 de</w:t>
            </w:r>
            <w:r w:rsidR="0077562A" w:rsidRPr="00C6748F">
              <w:rPr>
                <w:rFonts w:ascii="Arial" w:hAnsi="Arial" w:cs="Arial"/>
                <w:sz w:val="18"/>
                <w:szCs w:val="18"/>
              </w:rPr>
              <w:t xml:space="preserve">l 05 de mayo de </w:t>
            </w:r>
            <w:r w:rsidRPr="00C6748F">
              <w:rPr>
                <w:rFonts w:ascii="Arial" w:hAnsi="Arial" w:cs="Arial"/>
                <w:sz w:val="18"/>
                <w:szCs w:val="18"/>
              </w:rPr>
              <w:t xml:space="preserve"> 2015</w:t>
            </w:r>
            <w:r w:rsidR="0077562A" w:rsidRPr="00C6748F">
              <w:rPr>
                <w:rFonts w:ascii="Arial" w:hAnsi="Arial" w:cs="Arial"/>
                <w:sz w:val="18"/>
                <w:szCs w:val="18"/>
              </w:rPr>
              <w:t>, creando 6 nuevos cargos en la entidad</w:t>
            </w:r>
            <w:r w:rsidR="00A1002E" w:rsidRPr="00C6748F">
              <w:rPr>
                <w:rFonts w:ascii="Arial" w:hAnsi="Arial" w:cs="Arial"/>
                <w:sz w:val="18"/>
                <w:szCs w:val="18"/>
              </w:rPr>
              <w:t>.</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815846" w:rsidRPr="00C6748F" w:rsidRDefault="0077562A" w:rsidP="0077562A">
            <w:pPr>
              <w:jc w:val="both"/>
              <w:rPr>
                <w:rFonts w:ascii="Arial" w:hAnsi="Arial" w:cs="Arial"/>
                <w:sz w:val="18"/>
                <w:szCs w:val="18"/>
              </w:rPr>
            </w:pPr>
            <w:r w:rsidRPr="00C6748F">
              <w:rPr>
                <w:rFonts w:ascii="Arial" w:hAnsi="Arial" w:cs="Arial"/>
                <w:sz w:val="18"/>
                <w:szCs w:val="18"/>
              </w:rPr>
              <w:t>Debido al cumulo de asuntos que adelanta el ente de control fiscal este requiere continuar suscribiendo contratos de prestación de servicios ya que su personal de planta es insuficiente para cumplir cada una de las competencias de la Contraloría Municipal</w:t>
            </w:r>
            <w:r w:rsidR="00E973F4" w:rsidRPr="00C6748F">
              <w:rPr>
                <w:rFonts w:ascii="Arial" w:hAnsi="Arial" w:cs="Arial"/>
                <w:sz w:val="18"/>
                <w:szCs w:val="18"/>
              </w:rPr>
              <w:t xml:space="preserve"> </w:t>
            </w:r>
          </w:p>
        </w:tc>
        <w:tc>
          <w:tcPr>
            <w:tcW w:w="3402" w:type="dxa"/>
            <w:gridSpan w:val="11"/>
            <w:tcBorders>
              <w:top w:val="nil"/>
              <w:left w:val="single" w:sz="4" w:space="0" w:color="auto"/>
              <w:bottom w:val="nil"/>
              <w:right w:val="nil"/>
            </w:tcBorders>
            <w:shd w:val="clear" w:color="auto" w:fill="auto"/>
            <w:noWrap/>
            <w:vAlign w:val="center"/>
            <w:hideMark/>
          </w:tcPr>
          <w:p w:rsidR="00815846" w:rsidRPr="00C6748F" w:rsidRDefault="00815846" w:rsidP="006134A3">
            <w:pPr>
              <w:rPr>
                <w:rFonts w:ascii="Arial" w:hAnsi="Arial" w:cs="Arial"/>
                <w:sz w:val="20"/>
                <w:szCs w:val="20"/>
              </w:rPr>
            </w:pPr>
          </w:p>
          <w:p w:rsidR="00815846" w:rsidRPr="00C6748F" w:rsidRDefault="00815846" w:rsidP="006134A3">
            <w:pPr>
              <w:rPr>
                <w:rFonts w:ascii="Arial" w:hAnsi="Arial" w:cs="Arial"/>
                <w:sz w:val="20"/>
                <w:szCs w:val="20"/>
              </w:rPr>
            </w:pPr>
          </w:p>
          <w:p w:rsidR="00815846" w:rsidRPr="00C6748F" w:rsidRDefault="00815846" w:rsidP="006134A3">
            <w:pPr>
              <w:rPr>
                <w:rFonts w:ascii="Arial" w:hAnsi="Arial" w:cs="Arial"/>
                <w:sz w:val="20"/>
                <w:szCs w:val="20"/>
              </w:rPr>
            </w:pPr>
          </w:p>
          <w:p w:rsidR="00815846" w:rsidRPr="00C6748F" w:rsidRDefault="00815846" w:rsidP="006134A3">
            <w:pPr>
              <w:rPr>
                <w:rFonts w:ascii="Arial" w:hAnsi="Arial" w:cs="Arial"/>
                <w:sz w:val="20"/>
                <w:szCs w:val="20"/>
              </w:rPr>
            </w:pPr>
          </w:p>
          <w:p w:rsidR="00815846" w:rsidRPr="00C6748F" w:rsidRDefault="00815846" w:rsidP="006134A3">
            <w:pPr>
              <w:rPr>
                <w:rFonts w:ascii="Arial" w:hAnsi="Arial" w:cs="Arial"/>
                <w:sz w:val="20"/>
                <w:szCs w:val="20"/>
              </w:rPr>
            </w:pPr>
          </w:p>
          <w:p w:rsidR="00815846" w:rsidRPr="00C6748F" w:rsidRDefault="00815846" w:rsidP="006134A3">
            <w:pPr>
              <w:rPr>
                <w:rFonts w:ascii="Arial" w:hAnsi="Arial" w:cs="Arial"/>
                <w:sz w:val="20"/>
                <w:szCs w:val="20"/>
              </w:rPr>
            </w:pPr>
          </w:p>
        </w:tc>
      </w:tr>
      <w:tr w:rsidR="005F01C6" w:rsidRPr="00C6748F" w:rsidTr="00E973F4">
        <w:trPr>
          <w:gridAfter w:val="6"/>
          <w:wAfter w:w="3329" w:type="dxa"/>
          <w:trHeight w:val="135"/>
        </w:trPr>
        <w:tc>
          <w:tcPr>
            <w:tcW w:w="3402" w:type="dxa"/>
            <w:gridSpan w:val="5"/>
            <w:tcBorders>
              <w:left w:val="nil"/>
              <w:bottom w:val="nil"/>
              <w:right w:val="nil"/>
            </w:tcBorders>
            <w:shd w:val="clear" w:color="auto" w:fill="auto"/>
            <w:noWrap/>
            <w:vAlign w:val="center"/>
            <w:hideMark/>
          </w:tcPr>
          <w:p w:rsidR="00E973F4" w:rsidRPr="00C6748F" w:rsidRDefault="00E973F4" w:rsidP="006134A3">
            <w:pPr>
              <w:rPr>
                <w:rFonts w:ascii="Arial" w:hAnsi="Arial" w:cs="Arial"/>
                <w:b/>
                <w:bCs/>
                <w:sz w:val="18"/>
                <w:szCs w:val="18"/>
              </w:rPr>
            </w:pPr>
          </w:p>
          <w:p w:rsidR="00E973F4" w:rsidRPr="00C6748F" w:rsidRDefault="00E973F4" w:rsidP="006134A3">
            <w:pPr>
              <w:rPr>
                <w:rFonts w:ascii="Arial" w:hAnsi="Arial" w:cs="Arial"/>
                <w:b/>
                <w:bCs/>
                <w:sz w:val="18"/>
                <w:szCs w:val="18"/>
              </w:rPr>
            </w:pPr>
          </w:p>
          <w:p w:rsidR="00E973F4" w:rsidRPr="00C6748F" w:rsidRDefault="00E973F4" w:rsidP="006134A3">
            <w:pPr>
              <w:rPr>
                <w:rFonts w:ascii="Arial" w:hAnsi="Arial" w:cs="Arial"/>
                <w:b/>
                <w:bCs/>
                <w:sz w:val="18"/>
                <w:szCs w:val="18"/>
              </w:rPr>
            </w:pPr>
          </w:p>
          <w:p w:rsidR="00E973F4" w:rsidRPr="00C6748F" w:rsidRDefault="00E973F4" w:rsidP="006134A3">
            <w:pPr>
              <w:rPr>
                <w:rFonts w:ascii="Arial" w:hAnsi="Arial" w:cs="Arial"/>
                <w:b/>
                <w:bCs/>
                <w:sz w:val="18"/>
                <w:szCs w:val="18"/>
              </w:rPr>
            </w:pPr>
          </w:p>
          <w:p w:rsidR="00E973F4" w:rsidRPr="00C6748F" w:rsidRDefault="00E973F4" w:rsidP="006134A3">
            <w:pPr>
              <w:rPr>
                <w:rFonts w:ascii="Arial" w:hAnsi="Arial" w:cs="Arial"/>
                <w:b/>
                <w:bCs/>
                <w:sz w:val="18"/>
                <w:szCs w:val="18"/>
              </w:rPr>
            </w:pPr>
          </w:p>
          <w:p w:rsidR="00E973F4" w:rsidRPr="00C6748F" w:rsidRDefault="00E973F4" w:rsidP="006134A3">
            <w:pPr>
              <w:rPr>
                <w:rFonts w:ascii="Arial" w:hAnsi="Arial" w:cs="Arial"/>
                <w:b/>
                <w:bCs/>
                <w:sz w:val="18"/>
                <w:szCs w:val="18"/>
              </w:rPr>
            </w:pPr>
          </w:p>
          <w:p w:rsidR="00E973F4" w:rsidRPr="00C6748F" w:rsidRDefault="00E973F4" w:rsidP="006134A3">
            <w:pPr>
              <w:rPr>
                <w:rFonts w:ascii="Arial" w:hAnsi="Arial" w:cs="Arial"/>
                <w:b/>
                <w:bCs/>
                <w:sz w:val="18"/>
                <w:szCs w:val="18"/>
              </w:rPr>
            </w:pPr>
          </w:p>
          <w:p w:rsidR="00E973F4" w:rsidRPr="00C6748F" w:rsidRDefault="00E973F4" w:rsidP="006134A3">
            <w:pPr>
              <w:rPr>
                <w:rFonts w:ascii="Arial" w:hAnsi="Arial" w:cs="Arial"/>
                <w:b/>
                <w:bCs/>
                <w:sz w:val="18"/>
                <w:szCs w:val="18"/>
              </w:rPr>
            </w:pPr>
          </w:p>
          <w:p w:rsidR="00815846" w:rsidRPr="00C6748F" w:rsidRDefault="00E90983" w:rsidP="006134A3">
            <w:pPr>
              <w:rPr>
                <w:rFonts w:ascii="Arial" w:hAnsi="Arial" w:cs="Arial"/>
                <w:b/>
                <w:bCs/>
                <w:sz w:val="18"/>
                <w:szCs w:val="18"/>
              </w:rPr>
            </w:pPr>
            <w:r w:rsidRPr="00C6748F">
              <w:rPr>
                <w:rFonts w:ascii="Arial" w:hAnsi="Arial" w:cs="Arial"/>
                <w:b/>
                <w:bCs/>
                <w:sz w:val="18"/>
                <w:szCs w:val="18"/>
              </w:rPr>
              <w:t>P</w:t>
            </w:r>
            <w:r w:rsidR="003337E5" w:rsidRPr="00C6748F">
              <w:rPr>
                <w:rFonts w:ascii="Arial" w:hAnsi="Arial" w:cs="Arial"/>
                <w:b/>
                <w:bCs/>
                <w:sz w:val="18"/>
                <w:szCs w:val="18"/>
              </w:rPr>
              <w:t xml:space="preserve">ROCESO RESPONSABILIDAD FISCAL ORDINARIO </w:t>
            </w:r>
          </w:p>
        </w:tc>
        <w:tc>
          <w:tcPr>
            <w:tcW w:w="1984" w:type="dxa"/>
            <w:gridSpan w:val="5"/>
            <w:tcBorders>
              <w:left w:val="nil"/>
              <w:bottom w:val="nil"/>
              <w:right w:val="nil"/>
            </w:tcBorders>
            <w:shd w:val="clear" w:color="auto" w:fill="auto"/>
            <w:vAlign w:val="center"/>
            <w:hideMark/>
          </w:tcPr>
          <w:p w:rsidR="00815846" w:rsidRPr="00C6748F" w:rsidRDefault="00815846" w:rsidP="006134A3">
            <w:pPr>
              <w:jc w:val="both"/>
              <w:rPr>
                <w:rFonts w:ascii="Arial" w:hAnsi="Arial" w:cs="Arial"/>
                <w:sz w:val="18"/>
                <w:szCs w:val="18"/>
              </w:rPr>
            </w:pPr>
          </w:p>
        </w:tc>
        <w:tc>
          <w:tcPr>
            <w:tcW w:w="1985" w:type="dxa"/>
            <w:gridSpan w:val="2"/>
            <w:tcBorders>
              <w:left w:val="nil"/>
              <w:bottom w:val="nil"/>
              <w:right w:val="nil"/>
            </w:tcBorders>
            <w:shd w:val="clear" w:color="auto" w:fill="auto"/>
            <w:vAlign w:val="center"/>
            <w:hideMark/>
          </w:tcPr>
          <w:p w:rsidR="00815846" w:rsidRPr="00C6748F" w:rsidRDefault="00815846" w:rsidP="006134A3">
            <w:pPr>
              <w:jc w:val="center"/>
              <w:rPr>
                <w:rFonts w:ascii="Arial" w:hAnsi="Arial" w:cs="Arial"/>
                <w:sz w:val="18"/>
                <w:szCs w:val="18"/>
              </w:rPr>
            </w:pPr>
          </w:p>
        </w:tc>
        <w:tc>
          <w:tcPr>
            <w:tcW w:w="992" w:type="dxa"/>
            <w:gridSpan w:val="3"/>
            <w:tcBorders>
              <w:left w:val="nil"/>
              <w:bottom w:val="nil"/>
              <w:right w:val="nil"/>
            </w:tcBorders>
            <w:shd w:val="clear" w:color="auto" w:fill="auto"/>
            <w:vAlign w:val="center"/>
            <w:hideMark/>
          </w:tcPr>
          <w:p w:rsidR="00815846" w:rsidRPr="00C6748F" w:rsidRDefault="00815846" w:rsidP="006134A3">
            <w:pPr>
              <w:jc w:val="center"/>
              <w:rPr>
                <w:rFonts w:ascii="Arial" w:hAnsi="Arial" w:cs="Arial"/>
                <w:sz w:val="18"/>
                <w:szCs w:val="18"/>
              </w:rPr>
            </w:pPr>
          </w:p>
        </w:tc>
        <w:tc>
          <w:tcPr>
            <w:tcW w:w="1843" w:type="dxa"/>
            <w:gridSpan w:val="5"/>
            <w:tcBorders>
              <w:left w:val="nil"/>
              <w:bottom w:val="nil"/>
              <w:right w:val="nil"/>
            </w:tcBorders>
            <w:shd w:val="clear" w:color="auto" w:fill="auto"/>
            <w:vAlign w:val="center"/>
            <w:hideMark/>
          </w:tcPr>
          <w:p w:rsidR="00815846" w:rsidRPr="00C6748F" w:rsidRDefault="00815846" w:rsidP="006134A3">
            <w:pPr>
              <w:jc w:val="center"/>
              <w:rPr>
                <w:rFonts w:ascii="Arial" w:hAnsi="Arial" w:cs="Arial"/>
                <w:sz w:val="18"/>
                <w:szCs w:val="18"/>
              </w:rPr>
            </w:pPr>
          </w:p>
        </w:tc>
        <w:tc>
          <w:tcPr>
            <w:tcW w:w="1842" w:type="dxa"/>
            <w:gridSpan w:val="5"/>
            <w:tcBorders>
              <w:left w:val="nil"/>
              <w:bottom w:val="nil"/>
              <w:right w:val="nil"/>
            </w:tcBorders>
            <w:shd w:val="clear" w:color="auto" w:fill="auto"/>
            <w:vAlign w:val="center"/>
            <w:hideMark/>
          </w:tcPr>
          <w:p w:rsidR="00815846" w:rsidRPr="00C6748F" w:rsidRDefault="00815846" w:rsidP="006134A3">
            <w:pPr>
              <w:jc w:val="center"/>
              <w:rPr>
                <w:rFonts w:ascii="Arial" w:hAnsi="Arial" w:cs="Arial"/>
                <w:sz w:val="18"/>
                <w:szCs w:val="18"/>
              </w:rPr>
            </w:pPr>
          </w:p>
        </w:tc>
        <w:tc>
          <w:tcPr>
            <w:tcW w:w="1418" w:type="dxa"/>
            <w:gridSpan w:val="4"/>
            <w:tcBorders>
              <w:left w:val="nil"/>
              <w:bottom w:val="nil"/>
              <w:right w:val="nil"/>
            </w:tcBorders>
            <w:shd w:val="clear" w:color="auto" w:fill="auto"/>
            <w:vAlign w:val="center"/>
            <w:hideMark/>
          </w:tcPr>
          <w:p w:rsidR="00815846" w:rsidRPr="00C6748F" w:rsidRDefault="00815846" w:rsidP="006134A3">
            <w:pPr>
              <w:jc w:val="both"/>
              <w:rPr>
                <w:rFonts w:ascii="Arial" w:hAnsi="Arial" w:cs="Arial"/>
                <w:sz w:val="18"/>
                <w:szCs w:val="18"/>
              </w:rPr>
            </w:pPr>
          </w:p>
        </w:tc>
        <w:tc>
          <w:tcPr>
            <w:tcW w:w="3402" w:type="dxa"/>
            <w:gridSpan w:val="11"/>
            <w:tcBorders>
              <w:left w:val="nil"/>
              <w:bottom w:val="nil"/>
              <w:right w:val="nil"/>
            </w:tcBorders>
            <w:shd w:val="clear" w:color="auto" w:fill="auto"/>
            <w:noWrap/>
            <w:vAlign w:val="center"/>
            <w:hideMark/>
          </w:tcPr>
          <w:p w:rsidR="00815846" w:rsidRPr="00C6748F" w:rsidRDefault="00815846" w:rsidP="006134A3">
            <w:pPr>
              <w:rPr>
                <w:rFonts w:ascii="Arial" w:hAnsi="Arial" w:cs="Arial"/>
                <w:sz w:val="20"/>
                <w:szCs w:val="20"/>
              </w:rPr>
            </w:pPr>
          </w:p>
        </w:tc>
      </w:tr>
      <w:tr w:rsidR="005F01C6" w:rsidRPr="00C6748F" w:rsidTr="00E973F4">
        <w:trPr>
          <w:gridAfter w:val="6"/>
          <w:wAfter w:w="3329" w:type="dxa"/>
          <w:trHeight w:val="116"/>
        </w:trPr>
        <w:tc>
          <w:tcPr>
            <w:tcW w:w="708" w:type="dxa"/>
            <w:tcBorders>
              <w:top w:val="nil"/>
              <w:left w:val="nil"/>
              <w:bottom w:val="nil"/>
              <w:right w:val="nil"/>
            </w:tcBorders>
            <w:shd w:val="clear" w:color="auto" w:fill="auto"/>
            <w:noWrap/>
            <w:vAlign w:val="center"/>
            <w:hideMark/>
          </w:tcPr>
          <w:p w:rsidR="00815846" w:rsidRPr="00C6748F" w:rsidRDefault="00815846" w:rsidP="00AD3450">
            <w:pPr>
              <w:rPr>
                <w:rFonts w:ascii="Arial" w:hAnsi="Arial" w:cs="Arial"/>
                <w:sz w:val="20"/>
                <w:szCs w:val="20"/>
              </w:rPr>
            </w:pPr>
          </w:p>
        </w:tc>
        <w:tc>
          <w:tcPr>
            <w:tcW w:w="2694" w:type="dxa"/>
            <w:gridSpan w:val="4"/>
            <w:tcBorders>
              <w:top w:val="nil"/>
              <w:left w:val="nil"/>
              <w:bottom w:val="nil"/>
              <w:right w:val="nil"/>
            </w:tcBorders>
            <w:shd w:val="clear" w:color="auto" w:fill="auto"/>
            <w:vAlign w:val="center"/>
            <w:hideMark/>
          </w:tcPr>
          <w:p w:rsidR="00815846" w:rsidRPr="00C6748F" w:rsidRDefault="00815846" w:rsidP="006134A3">
            <w:pPr>
              <w:jc w:val="both"/>
              <w:rPr>
                <w:rFonts w:ascii="Arial" w:hAnsi="Arial" w:cs="Arial"/>
                <w:sz w:val="18"/>
                <w:szCs w:val="18"/>
              </w:rPr>
            </w:pPr>
          </w:p>
        </w:tc>
        <w:tc>
          <w:tcPr>
            <w:tcW w:w="1984" w:type="dxa"/>
            <w:gridSpan w:val="5"/>
            <w:tcBorders>
              <w:top w:val="nil"/>
              <w:left w:val="nil"/>
              <w:bottom w:val="nil"/>
              <w:right w:val="nil"/>
            </w:tcBorders>
            <w:shd w:val="clear" w:color="auto" w:fill="auto"/>
            <w:vAlign w:val="center"/>
            <w:hideMark/>
          </w:tcPr>
          <w:p w:rsidR="00815846" w:rsidRPr="00C6748F" w:rsidRDefault="00815846" w:rsidP="006134A3">
            <w:pPr>
              <w:jc w:val="both"/>
              <w:rPr>
                <w:rFonts w:ascii="Arial" w:hAnsi="Arial" w:cs="Arial"/>
                <w:sz w:val="18"/>
                <w:szCs w:val="18"/>
              </w:rPr>
            </w:pPr>
          </w:p>
        </w:tc>
        <w:tc>
          <w:tcPr>
            <w:tcW w:w="1985" w:type="dxa"/>
            <w:gridSpan w:val="2"/>
            <w:tcBorders>
              <w:top w:val="nil"/>
              <w:left w:val="nil"/>
              <w:bottom w:val="nil"/>
              <w:right w:val="nil"/>
            </w:tcBorders>
            <w:shd w:val="clear" w:color="auto" w:fill="auto"/>
            <w:vAlign w:val="center"/>
            <w:hideMark/>
          </w:tcPr>
          <w:p w:rsidR="00815846" w:rsidRPr="00C6748F" w:rsidRDefault="00815846" w:rsidP="006134A3">
            <w:pPr>
              <w:jc w:val="center"/>
              <w:rPr>
                <w:rFonts w:ascii="Arial" w:hAnsi="Arial" w:cs="Arial"/>
                <w:sz w:val="18"/>
                <w:szCs w:val="18"/>
              </w:rPr>
            </w:pPr>
          </w:p>
        </w:tc>
        <w:tc>
          <w:tcPr>
            <w:tcW w:w="992" w:type="dxa"/>
            <w:gridSpan w:val="3"/>
            <w:tcBorders>
              <w:top w:val="nil"/>
              <w:left w:val="nil"/>
              <w:bottom w:val="nil"/>
              <w:right w:val="nil"/>
            </w:tcBorders>
            <w:shd w:val="clear" w:color="auto" w:fill="auto"/>
            <w:vAlign w:val="center"/>
            <w:hideMark/>
          </w:tcPr>
          <w:p w:rsidR="00815846" w:rsidRPr="00C6748F" w:rsidRDefault="00815846" w:rsidP="006134A3">
            <w:pPr>
              <w:jc w:val="center"/>
              <w:rPr>
                <w:rFonts w:ascii="Arial" w:hAnsi="Arial" w:cs="Arial"/>
                <w:sz w:val="18"/>
                <w:szCs w:val="18"/>
              </w:rPr>
            </w:pPr>
          </w:p>
        </w:tc>
        <w:tc>
          <w:tcPr>
            <w:tcW w:w="1843" w:type="dxa"/>
            <w:gridSpan w:val="5"/>
            <w:tcBorders>
              <w:top w:val="nil"/>
              <w:left w:val="nil"/>
              <w:bottom w:val="nil"/>
              <w:right w:val="nil"/>
            </w:tcBorders>
            <w:shd w:val="clear" w:color="auto" w:fill="auto"/>
            <w:vAlign w:val="center"/>
            <w:hideMark/>
          </w:tcPr>
          <w:p w:rsidR="00815846" w:rsidRPr="00C6748F" w:rsidRDefault="00815846" w:rsidP="006134A3">
            <w:pPr>
              <w:jc w:val="center"/>
              <w:rPr>
                <w:rFonts w:ascii="Arial" w:hAnsi="Arial" w:cs="Arial"/>
                <w:sz w:val="18"/>
                <w:szCs w:val="18"/>
              </w:rPr>
            </w:pPr>
          </w:p>
        </w:tc>
        <w:tc>
          <w:tcPr>
            <w:tcW w:w="1842" w:type="dxa"/>
            <w:gridSpan w:val="5"/>
            <w:tcBorders>
              <w:top w:val="nil"/>
              <w:left w:val="nil"/>
              <w:bottom w:val="nil"/>
              <w:right w:val="nil"/>
            </w:tcBorders>
            <w:shd w:val="clear" w:color="auto" w:fill="auto"/>
            <w:vAlign w:val="center"/>
            <w:hideMark/>
          </w:tcPr>
          <w:p w:rsidR="00815846" w:rsidRPr="00C6748F" w:rsidRDefault="00815846" w:rsidP="006134A3">
            <w:pPr>
              <w:jc w:val="center"/>
              <w:rPr>
                <w:rFonts w:ascii="Arial" w:hAnsi="Arial" w:cs="Arial"/>
                <w:sz w:val="18"/>
                <w:szCs w:val="18"/>
              </w:rPr>
            </w:pPr>
          </w:p>
        </w:tc>
        <w:tc>
          <w:tcPr>
            <w:tcW w:w="1418" w:type="dxa"/>
            <w:gridSpan w:val="4"/>
            <w:tcBorders>
              <w:top w:val="nil"/>
              <w:left w:val="nil"/>
              <w:bottom w:val="nil"/>
              <w:right w:val="nil"/>
            </w:tcBorders>
            <w:shd w:val="clear" w:color="auto" w:fill="auto"/>
            <w:vAlign w:val="center"/>
            <w:hideMark/>
          </w:tcPr>
          <w:p w:rsidR="00815846" w:rsidRPr="00C6748F" w:rsidRDefault="00815846" w:rsidP="006134A3">
            <w:pPr>
              <w:jc w:val="both"/>
              <w:rPr>
                <w:rFonts w:ascii="Arial" w:hAnsi="Arial" w:cs="Arial"/>
                <w:sz w:val="18"/>
                <w:szCs w:val="18"/>
              </w:rPr>
            </w:pPr>
          </w:p>
        </w:tc>
        <w:tc>
          <w:tcPr>
            <w:tcW w:w="3402" w:type="dxa"/>
            <w:gridSpan w:val="11"/>
            <w:tcBorders>
              <w:top w:val="nil"/>
              <w:left w:val="nil"/>
              <w:bottom w:val="nil"/>
              <w:right w:val="nil"/>
            </w:tcBorders>
            <w:shd w:val="clear" w:color="auto" w:fill="auto"/>
            <w:noWrap/>
            <w:vAlign w:val="center"/>
            <w:hideMark/>
          </w:tcPr>
          <w:p w:rsidR="00815846" w:rsidRPr="00C6748F" w:rsidRDefault="00815846" w:rsidP="006134A3">
            <w:pPr>
              <w:rPr>
                <w:rFonts w:ascii="Arial" w:hAnsi="Arial" w:cs="Arial"/>
                <w:sz w:val="20"/>
                <w:szCs w:val="20"/>
              </w:rPr>
            </w:pPr>
          </w:p>
        </w:tc>
      </w:tr>
      <w:tr w:rsidR="00334D13" w:rsidRPr="00C6748F" w:rsidTr="00E973F4">
        <w:trPr>
          <w:gridAfter w:val="6"/>
          <w:wAfter w:w="3329" w:type="dxa"/>
          <w:trHeight w:val="355"/>
        </w:trPr>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34D13" w:rsidRPr="00C6748F" w:rsidRDefault="00334D13" w:rsidP="009B2B49">
            <w:pPr>
              <w:jc w:val="center"/>
              <w:rPr>
                <w:rFonts w:ascii="Franklin Gothic Medium" w:hAnsi="Franklin Gothic Medium" w:cs="Arial"/>
                <w:sz w:val="20"/>
                <w:szCs w:val="20"/>
              </w:rPr>
            </w:pPr>
            <w:r w:rsidRPr="00C6748F">
              <w:rPr>
                <w:rFonts w:ascii="Franklin Gothic Medium" w:hAnsi="Franklin Gothic Medium" w:cs="Arial"/>
                <w:sz w:val="20"/>
                <w:szCs w:val="20"/>
              </w:rPr>
              <w:t>6</w:t>
            </w:r>
          </w:p>
        </w:tc>
        <w:tc>
          <w:tcPr>
            <w:tcW w:w="2694" w:type="dxa"/>
            <w:gridSpan w:val="4"/>
            <w:tcBorders>
              <w:top w:val="single" w:sz="8" w:space="0" w:color="auto"/>
              <w:left w:val="nil"/>
              <w:bottom w:val="single" w:sz="4" w:space="0" w:color="auto"/>
              <w:right w:val="single" w:sz="8" w:space="0" w:color="auto"/>
            </w:tcBorders>
            <w:shd w:val="clear" w:color="auto" w:fill="auto"/>
            <w:vAlign w:val="center"/>
            <w:hideMark/>
          </w:tcPr>
          <w:p w:rsidR="00334D13" w:rsidRPr="00C6748F" w:rsidRDefault="00334D13" w:rsidP="00E7190A">
            <w:pPr>
              <w:pStyle w:val="Default"/>
              <w:jc w:val="both"/>
              <w:rPr>
                <w:rFonts w:ascii="Franklin Gothic Medium" w:hAnsi="Franklin Gothic Medium"/>
                <w:sz w:val="18"/>
                <w:szCs w:val="18"/>
              </w:rPr>
            </w:pPr>
            <w:r w:rsidRPr="00C6748F">
              <w:rPr>
                <w:rFonts w:ascii="Franklin Gothic Medium" w:hAnsi="Franklin Gothic Medium"/>
                <w:sz w:val="18"/>
                <w:szCs w:val="18"/>
              </w:rPr>
              <w:t xml:space="preserve">En el PRF 3230, el 01/04/2014 se ordena el archivo del proceso de responsabilidad fiscal contra uno de los implicados, razón por la cual el expediente es remitido a consulta, el 19/05/2014, sin embargo y a pesar de que éste se encuentra en otro grado jurisdiccional, el ad quo el 29/05/2014 se pronuncia sobre unas pruebas, no siendo procedente como quiera que una decisión de fondo se encontraba en revisión por parte de la segunda instancia (debiéndose remitir el expediente original), estando el proceso suspendido hasta tanto ésta se pronunciara sobre la misma. </w:t>
            </w:r>
          </w:p>
        </w:tc>
        <w:tc>
          <w:tcPr>
            <w:tcW w:w="1984" w:type="dxa"/>
            <w:gridSpan w:val="5"/>
            <w:tcBorders>
              <w:top w:val="single" w:sz="8" w:space="0" w:color="auto"/>
              <w:left w:val="nil"/>
              <w:bottom w:val="single" w:sz="4" w:space="0" w:color="auto"/>
              <w:right w:val="single" w:sz="8" w:space="0" w:color="auto"/>
            </w:tcBorders>
            <w:shd w:val="clear" w:color="auto" w:fill="auto"/>
            <w:vAlign w:val="center"/>
            <w:hideMark/>
          </w:tcPr>
          <w:p w:rsidR="00334D13" w:rsidRPr="00C6748F" w:rsidRDefault="00334D13" w:rsidP="00E7190A">
            <w:pPr>
              <w:contextualSpacing/>
              <w:jc w:val="both"/>
              <w:rPr>
                <w:rFonts w:ascii="Franklin Gothic Medium" w:hAnsi="Franklin Gothic Medium"/>
                <w:sz w:val="18"/>
                <w:szCs w:val="18"/>
              </w:rPr>
            </w:pPr>
            <w:r w:rsidRPr="00C6748F">
              <w:rPr>
                <w:rFonts w:ascii="Franklin Gothic Medium" w:hAnsi="Franklin Gothic Medium"/>
                <w:sz w:val="18"/>
                <w:szCs w:val="18"/>
              </w:rPr>
              <w:t xml:space="preserve">La </w:t>
            </w:r>
            <w:proofErr w:type="spellStart"/>
            <w:r w:rsidRPr="00C6748F">
              <w:rPr>
                <w:rFonts w:ascii="Franklin Gothic Medium" w:hAnsi="Franklin Gothic Medium"/>
                <w:sz w:val="18"/>
                <w:szCs w:val="18"/>
              </w:rPr>
              <w:t>SubContraloría</w:t>
            </w:r>
            <w:proofErr w:type="spellEnd"/>
            <w:r w:rsidRPr="00C6748F">
              <w:rPr>
                <w:rFonts w:ascii="Franklin Gothic Medium" w:hAnsi="Franklin Gothic Medium"/>
                <w:sz w:val="18"/>
                <w:szCs w:val="18"/>
              </w:rPr>
              <w:t xml:space="preserve"> Municipal y el Grupo de Responsabilidad Fiscal orientarán el desarrollo de los procesos de Responsabilidad Fiscal hacia el cumplimiento del trámite establecido dentro de las normas vigentes, respetando los términos y las oportunidades procesales.</w:t>
            </w:r>
          </w:p>
          <w:p w:rsidR="00334D13" w:rsidRPr="00C6748F" w:rsidRDefault="00334D13" w:rsidP="00E7190A">
            <w:pPr>
              <w:jc w:val="both"/>
              <w:rPr>
                <w:rFonts w:ascii="Franklin Gothic Medium" w:hAnsi="Franklin Gothic Medium" w:cs="Arial"/>
                <w:sz w:val="18"/>
                <w:szCs w:val="18"/>
              </w:rPr>
            </w:pPr>
          </w:p>
        </w:tc>
        <w:tc>
          <w:tcPr>
            <w:tcW w:w="1985" w:type="dxa"/>
            <w:gridSpan w:val="2"/>
            <w:tcBorders>
              <w:top w:val="single" w:sz="8"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eastAsia="Calibri" w:hAnsi="Franklin Gothic Medium" w:cs="Arial"/>
                <w:sz w:val="20"/>
                <w:szCs w:val="20"/>
              </w:rPr>
              <w:t>Grupo de Responsabilidad Fiscal, responsables, SubContralor, Profesionales Universitarios o Especializados</w:t>
            </w:r>
          </w:p>
        </w:tc>
        <w:tc>
          <w:tcPr>
            <w:tcW w:w="992" w:type="dxa"/>
            <w:gridSpan w:val="3"/>
            <w:tcBorders>
              <w:top w:val="single" w:sz="8"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Enero 01 a 31 de Diciembre de 2015</w:t>
            </w:r>
          </w:p>
        </w:tc>
        <w:tc>
          <w:tcPr>
            <w:tcW w:w="1843" w:type="dxa"/>
            <w:gridSpan w:val="5"/>
            <w:tcBorders>
              <w:top w:val="single" w:sz="8"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100%</w:t>
            </w:r>
          </w:p>
        </w:tc>
        <w:tc>
          <w:tcPr>
            <w:tcW w:w="1842" w:type="dxa"/>
            <w:gridSpan w:val="5"/>
            <w:tcBorders>
              <w:top w:val="single" w:sz="8" w:space="0" w:color="auto"/>
              <w:left w:val="nil"/>
              <w:bottom w:val="single" w:sz="4" w:space="0" w:color="auto"/>
              <w:right w:val="single" w:sz="8" w:space="0" w:color="auto"/>
            </w:tcBorders>
            <w:shd w:val="clear" w:color="auto" w:fill="auto"/>
            <w:vAlign w:val="center"/>
            <w:hideMark/>
          </w:tcPr>
          <w:p w:rsidR="00334D13" w:rsidRPr="00C6748F" w:rsidRDefault="00334D13" w:rsidP="00E7190A">
            <w:pPr>
              <w:contextualSpacing/>
              <w:jc w:val="center"/>
              <w:rPr>
                <w:rFonts w:ascii="Franklin Gothic Medium" w:hAnsi="Franklin Gothic Medium"/>
                <w:sz w:val="18"/>
                <w:szCs w:val="18"/>
              </w:rPr>
            </w:pPr>
          </w:p>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sz w:val="18"/>
                <w:szCs w:val="18"/>
              </w:rPr>
              <w:t>Aplicación de la Normatividad Vigente.</w:t>
            </w:r>
          </w:p>
        </w:tc>
        <w:tc>
          <w:tcPr>
            <w:tcW w:w="1418" w:type="dxa"/>
            <w:gridSpan w:val="4"/>
            <w:tcBorders>
              <w:top w:val="single" w:sz="8" w:space="0" w:color="auto"/>
              <w:left w:val="nil"/>
              <w:bottom w:val="single" w:sz="4" w:space="0" w:color="auto"/>
              <w:right w:val="single" w:sz="8" w:space="0" w:color="auto"/>
            </w:tcBorders>
            <w:shd w:val="clear" w:color="auto" w:fill="auto"/>
            <w:vAlign w:val="center"/>
            <w:hideMark/>
          </w:tcPr>
          <w:p w:rsidR="00334D13" w:rsidRPr="00C6748F" w:rsidRDefault="00EA7226" w:rsidP="00E7190A">
            <w:pPr>
              <w:jc w:val="both"/>
              <w:rPr>
                <w:rFonts w:ascii="Franklin Gothic Medium" w:hAnsi="Franklin Gothic Medium" w:cs="Arial"/>
                <w:sz w:val="18"/>
                <w:szCs w:val="18"/>
              </w:rPr>
            </w:pPr>
            <w:r w:rsidRPr="00C6748F">
              <w:rPr>
                <w:rFonts w:ascii="Franklin Gothic Medium" w:hAnsi="Franklin Gothic Medium" w:cs="Arial"/>
                <w:sz w:val="18"/>
                <w:szCs w:val="18"/>
              </w:rPr>
              <w:t>Indicador  que será cumplido  del 01 Enero al 31 de Diciembre de 2015. A la fecha se siguen observando y aplicando con rigurosidad las normas vigentes, los términos y las oportunidades procesales en todos los procesos.</w:t>
            </w:r>
          </w:p>
        </w:tc>
        <w:tc>
          <w:tcPr>
            <w:tcW w:w="3402" w:type="dxa"/>
            <w:gridSpan w:val="11"/>
            <w:tcBorders>
              <w:top w:val="nil"/>
              <w:left w:val="nil"/>
              <w:bottom w:val="nil"/>
              <w:right w:val="nil"/>
            </w:tcBorders>
            <w:shd w:val="clear" w:color="auto" w:fill="auto"/>
            <w:noWrap/>
            <w:vAlign w:val="center"/>
            <w:hideMark/>
          </w:tcPr>
          <w:p w:rsidR="00334D13" w:rsidRPr="00C6748F" w:rsidRDefault="00334D13" w:rsidP="006134A3">
            <w:pPr>
              <w:rPr>
                <w:rFonts w:ascii="Arial" w:hAnsi="Arial" w:cs="Arial"/>
                <w:sz w:val="20"/>
                <w:szCs w:val="20"/>
              </w:rPr>
            </w:pPr>
          </w:p>
        </w:tc>
      </w:tr>
      <w:tr w:rsidR="00334D13" w:rsidRPr="00C6748F" w:rsidTr="00E973F4">
        <w:trPr>
          <w:gridAfter w:val="6"/>
          <w:wAfter w:w="3329" w:type="dxa"/>
          <w:trHeight w:val="697"/>
        </w:trPr>
        <w:tc>
          <w:tcPr>
            <w:tcW w:w="7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34D13" w:rsidRPr="00C6748F" w:rsidRDefault="00334D13" w:rsidP="009B2B49">
            <w:pPr>
              <w:jc w:val="center"/>
              <w:rPr>
                <w:rFonts w:ascii="Franklin Gothic Medium" w:hAnsi="Franklin Gothic Medium" w:cs="Arial"/>
                <w:sz w:val="20"/>
                <w:szCs w:val="20"/>
              </w:rPr>
            </w:pPr>
            <w:r w:rsidRPr="00C6748F">
              <w:rPr>
                <w:rFonts w:ascii="Franklin Gothic Medium" w:hAnsi="Franklin Gothic Medium" w:cs="Arial"/>
                <w:sz w:val="20"/>
                <w:szCs w:val="20"/>
              </w:rPr>
              <w:t>7</w:t>
            </w:r>
          </w:p>
        </w:tc>
        <w:tc>
          <w:tcPr>
            <w:tcW w:w="2694" w:type="dxa"/>
            <w:gridSpan w:val="4"/>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pStyle w:val="Default"/>
              <w:jc w:val="both"/>
              <w:rPr>
                <w:rFonts w:ascii="Franklin Gothic Medium" w:hAnsi="Franklin Gothic Medium"/>
                <w:sz w:val="18"/>
                <w:szCs w:val="18"/>
              </w:rPr>
            </w:pPr>
            <w:r w:rsidRPr="00C6748F">
              <w:rPr>
                <w:rFonts w:ascii="Franklin Gothic Medium" w:hAnsi="Franklin Gothic Medium"/>
                <w:sz w:val="18"/>
                <w:szCs w:val="18"/>
              </w:rPr>
              <w:t xml:space="preserve">En el proceso 3239, al momento de ordenar mediante auto la negación de unas pruebas no se otorga los recursos de ley, hecho éste que dio lugar a que el mismo ente de control ordenará la nulidad de lo actuado. </w:t>
            </w:r>
          </w:p>
        </w:tc>
        <w:tc>
          <w:tcPr>
            <w:tcW w:w="1984"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both"/>
              <w:rPr>
                <w:rFonts w:ascii="Franklin Gothic Medium" w:hAnsi="Franklin Gothic Medium" w:cs="Arial"/>
                <w:sz w:val="18"/>
                <w:szCs w:val="18"/>
              </w:rPr>
            </w:pPr>
            <w:r w:rsidRPr="00C6748F">
              <w:rPr>
                <w:rFonts w:ascii="Franklin Gothic Medium" w:hAnsi="Franklin Gothic Medium" w:cs="Arial"/>
                <w:sz w:val="18"/>
                <w:szCs w:val="18"/>
              </w:rPr>
              <w:t xml:space="preserve">La </w:t>
            </w:r>
            <w:proofErr w:type="spellStart"/>
            <w:r w:rsidRPr="00C6748F">
              <w:rPr>
                <w:rFonts w:ascii="Franklin Gothic Medium" w:hAnsi="Franklin Gothic Medium" w:cs="Arial"/>
                <w:sz w:val="18"/>
                <w:szCs w:val="18"/>
              </w:rPr>
              <w:t>SubContraloría</w:t>
            </w:r>
            <w:proofErr w:type="spellEnd"/>
            <w:r w:rsidRPr="00C6748F">
              <w:rPr>
                <w:rFonts w:ascii="Franklin Gothic Medium" w:hAnsi="Franklin Gothic Medium" w:cs="Arial"/>
                <w:sz w:val="18"/>
                <w:szCs w:val="18"/>
              </w:rPr>
              <w:t xml:space="preserve"> Municipal y el Grupo de Responsabilidad Fiscal dejarán plasmado en los Actos Administrativos los recursos que procedan.</w:t>
            </w:r>
          </w:p>
          <w:p w:rsidR="00334D13" w:rsidRPr="00C6748F" w:rsidRDefault="00334D13" w:rsidP="00E7190A">
            <w:pPr>
              <w:jc w:val="both"/>
              <w:rPr>
                <w:rFonts w:ascii="Franklin Gothic Medium" w:hAnsi="Franklin Gothic Medium" w:cs="Arial"/>
                <w:sz w:val="18"/>
                <w:szCs w:val="18"/>
              </w:rPr>
            </w:pPr>
          </w:p>
        </w:tc>
        <w:tc>
          <w:tcPr>
            <w:tcW w:w="1985" w:type="dxa"/>
            <w:gridSpan w:val="2"/>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eastAsia="Calibri" w:hAnsi="Franklin Gothic Medium" w:cs="Arial"/>
                <w:sz w:val="20"/>
                <w:szCs w:val="20"/>
              </w:rPr>
              <w:t>Grupo de Responsabilidad Fiscal, responsables, SubContralor, Profesionales Universitarios o Especializados</w:t>
            </w:r>
          </w:p>
        </w:tc>
        <w:tc>
          <w:tcPr>
            <w:tcW w:w="992" w:type="dxa"/>
            <w:gridSpan w:val="3"/>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Enero 01 a 31 de Diciembre de 2015</w:t>
            </w:r>
          </w:p>
        </w:tc>
        <w:tc>
          <w:tcPr>
            <w:tcW w:w="1843"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100%</w:t>
            </w:r>
          </w:p>
        </w:tc>
        <w:tc>
          <w:tcPr>
            <w:tcW w:w="1842"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Aplicación de la normatividad Vigente</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334D13" w:rsidRPr="00C6748F" w:rsidRDefault="00EA7226" w:rsidP="00E7190A">
            <w:pPr>
              <w:jc w:val="both"/>
              <w:rPr>
                <w:rFonts w:ascii="Franklin Gothic Medium" w:hAnsi="Franklin Gothic Medium" w:cs="Arial"/>
                <w:sz w:val="18"/>
                <w:szCs w:val="18"/>
              </w:rPr>
            </w:pPr>
            <w:r w:rsidRPr="00C6748F">
              <w:rPr>
                <w:rFonts w:ascii="Franklin Gothic Medium" w:hAnsi="Franklin Gothic Medium" w:cs="Arial"/>
                <w:sz w:val="18"/>
                <w:szCs w:val="18"/>
              </w:rPr>
              <w:t>Indicador que será cumplido del 01 de Enero al 31 de Diciembre de 2015. A la fecha, en los Actos Administrativos se plasman los recursos que proceden.</w:t>
            </w:r>
          </w:p>
        </w:tc>
        <w:tc>
          <w:tcPr>
            <w:tcW w:w="3402" w:type="dxa"/>
            <w:gridSpan w:val="11"/>
            <w:tcBorders>
              <w:top w:val="nil"/>
              <w:left w:val="single" w:sz="4" w:space="0" w:color="auto"/>
              <w:bottom w:val="nil"/>
              <w:right w:val="nil"/>
            </w:tcBorders>
            <w:shd w:val="clear" w:color="auto" w:fill="auto"/>
            <w:noWrap/>
            <w:vAlign w:val="center"/>
            <w:hideMark/>
          </w:tcPr>
          <w:p w:rsidR="00334D13" w:rsidRPr="00C6748F" w:rsidRDefault="00334D13" w:rsidP="006134A3">
            <w:pPr>
              <w:rPr>
                <w:rFonts w:ascii="Arial" w:hAnsi="Arial" w:cs="Arial"/>
                <w:sz w:val="20"/>
                <w:szCs w:val="20"/>
              </w:rPr>
            </w:pPr>
          </w:p>
        </w:tc>
      </w:tr>
      <w:tr w:rsidR="00334D13" w:rsidRPr="00C6748F" w:rsidTr="00E973F4">
        <w:trPr>
          <w:gridAfter w:val="6"/>
          <w:wAfter w:w="3329" w:type="dxa"/>
          <w:trHeight w:val="594"/>
        </w:trPr>
        <w:tc>
          <w:tcPr>
            <w:tcW w:w="70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34D13" w:rsidRPr="00C6748F" w:rsidRDefault="00334D13" w:rsidP="009B2B49">
            <w:pPr>
              <w:jc w:val="center"/>
              <w:rPr>
                <w:rFonts w:ascii="Franklin Gothic Medium" w:hAnsi="Franklin Gothic Medium" w:cs="Arial"/>
                <w:sz w:val="20"/>
                <w:szCs w:val="20"/>
              </w:rPr>
            </w:pPr>
            <w:r w:rsidRPr="00C6748F">
              <w:rPr>
                <w:rFonts w:ascii="Franklin Gothic Medium" w:hAnsi="Franklin Gothic Medium" w:cs="Arial"/>
                <w:sz w:val="20"/>
                <w:szCs w:val="20"/>
              </w:rPr>
              <w:lastRenderedPageBreak/>
              <w:t>8</w:t>
            </w:r>
          </w:p>
        </w:tc>
        <w:tc>
          <w:tcPr>
            <w:tcW w:w="2694" w:type="dxa"/>
            <w:gridSpan w:val="4"/>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pStyle w:val="Default"/>
              <w:jc w:val="both"/>
              <w:rPr>
                <w:rFonts w:ascii="Franklin Gothic Medium" w:hAnsi="Franklin Gothic Medium"/>
                <w:sz w:val="18"/>
                <w:szCs w:val="18"/>
              </w:rPr>
            </w:pPr>
            <w:r w:rsidRPr="00C6748F">
              <w:rPr>
                <w:rFonts w:ascii="Franklin Gothic Medium" w:hAnsi="Franklin Gothic Medium"/>
                <w:sz w:val="18"/>
                <w:szCs w:val="18"/>
              </w:rPr>
              <w:t xml:space="preserve">La Contraloría Municipal de Bucaramanga al momento de decidir las pruebas solicitadas de parte no analizo no estudio lo pertinente a la solicitud de una prueba de visita especial en la parte motiva, guardando silencio en la parte resolutiva, ordenando el decreto únicamente de unas pruebas testimoniales (PRF 3231). </w:t>
            </w:r>
          </w:p>
          <w:p w:rsidR="00334D13" w:rsidRPr="00C6748F" w:rsidRDefault="00334D13" w:rsidP="00E7190A">
            <w:pPr>
              <w:jc w:val="both"/>
              <w:rPr>
                <w:rFonts w:ascii="Franklin Gothic Medium" w:hAnsi="Franklin Gothic Medium" w:cs="Arial"/>
                <w:sz w:val="18"/>
                <w:szCs w:val="18"/>
                <w:lang w:val="es-CO"/>
              </w:rPr>
            </w:pPr>
          </w:p>
        </w:tc>
        <w:tc>
          <w:tcPr>
            <w:tcW w:w="1984" w:type="dxa"/>
            <w:gridSpan w:val="5"/>
            <w:tcBorders>
              <w:top w:val="single" w:sz="4" w:space="0" w:color="auto"/>
              <w:left w:val="nil"/>
              <w:bottom w:val="single" w:sz="4" w:space="0" w:color="auto"/>
              <w:right w:val="single" w:sz="8" w:space="0" w:color="auto"/>
            </w:tcBorders>
            <w:shd w:val="clear" w:color="auto" w:fill="auto"/>
            <w:hideMark/>
          </w:tcPr>
          <w:p w:rsidR="00334D13" w:rsidRPr="00C6748F" w:rsidRDefault="00334D13" w:rsidP="00E7190A">
            <w:pPr>
              <w:contextualSpacing/>
              <w:jc w:val="both"/>
              <w:rPr>
                <w:rFonts w:ascii="Franklin Gothic Medium" w:hAnsi="Franklin Gothic Medium"/>
                <w:sz w:val="18"/>
                <w:szCs w:val="18"/>
              </w:rPr>
            </w:pPr>
          </w:p>
          <w:p w:rsidR="00334D13" w:rsidRPr="00C6748F" w:rsidRDefault="00334D13" w:rsidP="00E7190A">
            <w:pPr>
              <w:contextualSpacing/>
              <w:jc w:val="both"/>
              <w:rPr>
                <w:rFonts w:ascii="Franklin Gothic Medium" w:hAnsi="Franklin Gothic Medium"/>
                <w:sz w:val="18"/>
                <w:szCs w:val="18"/>
              </w:rPr>
            </w:pPr>
            <w:r w:rsidRPr="00C6748F">
              <w:rPr>
                <w:rFonts w:ascii="Franklin Gothic Medium" w:hAnsi="Franklin Gothic Medium"/>
                <w:sz w:val="18"/>
                <w:szCs w:val="18"/>
              </w:rPr>
              <w:t xml:space="preserve">La </w:t>
            </w:r>
            <w:proofErr w:type="spellStart"/>
            <w:r w:rsidRPr="00C6748F">
              <w:rPr>
                <w:rFonts w:ascii="Franklin Gothic Medium" w:hAnsi="Franklin Gothic Medium"/>
                <w:sz w:val="18"/>
                <w:szCs w:val="18"/>
              </w:rPr>
              <w:t>SubContraloría</w:t>
            </w:r>
            <w:proofErr w:type="spellEnd"/>
            <w:r w:rsidRPr="00C6748F">
              <w:rPr>
                <w:rFonts w:ascii="Franklin Gothic Medium" w:hAnsi="Franklin Gothic Medium"/>
                <w:sz w:val="18"/>
                <w:szCs w:val="18"/>
              </w:rPr>
              <w:t xml:space="preserve"> Municipal y el Grupo de Responsabilidad Fiscal revisarán de forma estricta todas las solicitudes de pruebas y realizará el respectivo pronunciamiento de la admisibilidad o no de la misma. </w:t>
            </w:r>
          </w:p>
        </w:tc>
        <w:tc>
          <w:tcPr>
            <w:tcW w:w="1985" w:type="dxa"/>
            <w:gridSpan w:val="2"/>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eastAsia="Calibri" w:hAnsi="Franklin Gothic Medium" w:cs="Arial"/>
                <w:sz w:val="20"/>
                <w:szCs w:val="20"/>
              </w:rPr>
              <w:t>Grupo de Responsabilidad Fiscal, responsables, SubContralor, Profesionales Universitarios o Especializados</w:t>
            </w:r>
          </w:p>
        </w:tc>
        <w:tc>
          <w:tcPr>
            <w:tcW w:w="992" w:type="dxa"/>
            <w:gridSpan w:val="3"/>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Enero 01 a 31 de Diciembre de 2015</w:t>
            </w:r>
          </w:p>
        </w:tc>
        <w:tc>
          <w:tcPr>
            <w:tcW w:w="1843"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100%</w:t>
            </w:r>
          </w:p>
        </w:tc>
        <w:tc>
          <w:tcPr>
            <w:tcW w:w="1842"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both"/>
              <w:rPr>
                <w:rFonts w:ascii="Franklin Gothic Medium" w:hAnsi="Franklin Gothic Medium" w:cs="Arial"/>
                <w:sz w:val="18"/>
                <w:szCs w:val="18"/>
              </w:rPr>
            </w:pPr>
            <w:r w:rsidRPr="00C6748F">
              <w:rPr>
                <w:rFonts w:ascii="Franklin Gothic Medium" w:hAnsi="Franklin Gothic Medium" w:cs="Arial"/>
                <w:sz w:val="18"/>
                <w:szCs w:val="18"/>
              </w:rPr>
              <w:t>Aplicación de la normatividad Vigente</w:t>
            </w:r>
          </w:p>
        </w:tc>
        <w:tc>
          <w:tcPr>
            <w:tcW w:w="1418" w:type="dxa"/>
            <w:gridSpan w:val="4"/>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EA7226" w:rsidP="00E7190A">
            <w:pPr>
              <w:jc w:val="both"/>
              <w:rPr>
                <w:rFonts w:ascii="Franklin Gothic Medium" w:hAnsi="Franklin Gothic Medium" w:cs="Arial"/>
                <w:sz w:val="18"/>
                <w:szCs w:val="18"/>
              </w:rPr>
            </w:pPr>
            <w:r w:rsidRPr="00C6748F">
              <w:rPr>
                <w:rFonts w:ascii="Franklin Gothic Medium" w:hAnsi="Franklin Gothic Medium" w:cs="Arial"/>
                <w:sz w:val="18"/>
                <w:szCs w:val="18"/>
              </w:rPr>
              <w:t>Indicador que será cumplido del 01 de Enero al 31 de Diciembre de 2015. A la fecha, se realiza revisión minuciosa de las pruebas con el fin de realizar su respectivo pronunciamiento.</w:t>
            </w:r>
          </w:p>
        </w:tc>
        <w:tc>
          <w:tcPr>
            <w:tcW w:w="3402" w:type="dxa"/>
            <w:gridSpan w:val="11"/>
            <w:tcBorders>
              <w:top w:val="nil"/>
              <w:left w:val="nil"/>
              <w:right w:val="nil"/>
            </w:tcBorders>
            <w:shd w:val="clear" w:color="auto" w:fill="auto"/>
            <w:noWrap/>
            <w:vAlign w:val="center"/>
            <w:hideMark/>
          </w:tcPr>
          <w:p w:rsidR="00334D13" w:rsidRPr="00C6748F" w:rsidRDefault="00334D13" w:rsidP="006134A3">
            <w:pPr>
              <w:rPr>
                <w:rFonts w:ascii="Arial" w:hAnsi="Arial" w:cs="Arial"/>
                <w:sz w:val="20"/>
                <w:szCs w:val="20"/>
              </w:rPr>
            </w:pPr>
          </w:p>
        </w:tc>
      </w:tr>
      <w:tr w:rsidR="00334D13" w:rsidRPr="00C6748F" w:rsidTr="00E973F4">
        <w:trPr>
          <w:gridAfter w:val="6"/>
          <w:wAfter w:w="3329" w:type="dxa"/>
          <w:trHeight w:val="594"/>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D13" w:rsidRPr="00C6748F" w:rsidRDefault="00334D13" w:rsidP="005F01C6">
            <w:pPr>
              <w:jc w:val="center"/>
              <w:rPr>
                <w:rFonts w:ascii="Franklin Gothic Medium" w:hAnsi="Franklin Gothic Medium" w:cs="Arial"/>
                <w:sz w:val="20"/>
                <w:szCs w:val="20"/>
              </w:rPr>
            </w:pPr>
            <w:r w:rsidRPr="00C6748F">
              <w:rPr>
                <w:rFonts w:ascii="Franklin Gothic Medium" w:hAnsi="Franklin Gothic Medium" w:cs="Arial"/>
                <w:sz w:val="20"/>
                <w:szCs w:val="20"/>
              </w:rPr>
              <w:t>9</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pStyle w:val="Default"/>
              <w:jc w:val="both"/>
              <w:rPr>
                <w:rFonts w:ascii="Franklin Gothic Medium" w:hAnsi="Franklin Gothic Medium"/>
                <w:sz w:val="18"/>
                <w:szCs w:val="18"/>
              </w:rPr>
            </w:pPr>
            <w:r w:rsidRPr="00C6748F">
              <w:rPr>
                <w:rFonts w:ascii="Franklin Gothic Medium" w:hAnsi="Franklin Gothic Medium"/>
                <w:sz w:val="18"/>
                <w:szCs w:val="18"/>
              </w:rPr>
              <w:t xml:space="preserve">La Contraloría Municipal de Bucaramanga en los eventos en que decide una nulidad toma el procedimiento incidental señalado en el Capítulo II, artículos 140 a 146 y no lo señalado en la Ley 610 de 2000 y artículo 109 de la Ley 1474 de 2011. </w:t>
            </w: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contextualSpacing/>
              <w:jc w:val="both"/>
              <w:rPr>
                <w:rFonts w:ascii="Franklin Gothic Medium" w:hAnsi="Franklin Gothic Medium" w:cs="Arial"/>
                <w:sz w:val="18"/>
                <w:szCs w:val="18"/>
              </w:rPr>
            </w:pPr>
            <w:r w:rsidRPr="00C6748F">
              <w:rPr>
                <w:rFonts w:ascii="Franklin Gothic Medium" w:hAnsi="Franklin Gothic Medium"/>
                <w:sz w:val="18"/>
                <w:szCs w:val="18"/>
              </w:rPr>
              <w:t xml:space="preserve">La </w:t>
            </w:r>
            <w:proofErr w:type="spellStart"/>
            <w:r w:rsidRPr="00C6748F">
              <w:rPr>
                <w:rFonts w:ascii="Franklin Gothic Medium" w:hAnsi="Franklin Gothic Medium"/>
                <w:sz w:val="18"/>
                <w:szCs w:val="18"/>
              </w:rPr>
              <w:t>SubContraloría</w:t>
            </w:r>
            <w:proofErr w:type="spellEnd"/>
            <w:r w:rsidRPr="00C6748F">
              <w:rPr>
                <w:rFonts w:ascii="Franklin Gothic Medium" w:hAnsi="Franklin Gothic Medium"/>
                <w:sz w:val="18"/>
                <w:szCs w:val="18"/>
              </w:rPr>
              <w:t xml:space="preserve"> Municipal y el Grupo de Responsabilidad Fiscal decidirán las solicitudes de nulidad en los términos del Art. 109 de la Ley 1474 de 2011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eastAsia="Calibri" w:hAnsi="Franklin Gothic Medium" w:cs="Arial"/>
                <w:sz w:val="20"/>
                <w:szCs w:val="20"/>
              </w:rPr>
              <w:t>Grupo de Responsabilidad Fiscal, responsables, SubContralor, Profesionales Universitarios o Especializados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Enero 01 a 31 de Diciembre de 2015</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100%</w:t>
            </w: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both"/>
              <w:rPr>
                <w:rFonts w:ascii="Franklin Gothic Medium" w:hAnsi="Franklin Gothic Medium" w:cs="Arial"/>
                <w:sz w:val="18"/>
                <w:szCs w:val="18"/>
              </w:rPr>
            </w:pPr>
            <w:r w:rsidRPr="00C6748F">
              <w:rPr>
                <w:rFonts w:ascii="Franklin Gothic Medium" w:hAnsi="Franklin Gothic Medium" w:cs="Arial"/>
                <w:sz w:val="18"/>
                <w:szCs w:val="18"/>
              </w:rPr>
              <w:t>Aplicación de la normatividad Vigente</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EA7226" w:rsidP="00E7190A">
            <w:pPr>
              <w:jc w:val="both"/>
              <w:rPr>
                <w:rFonts w:ascii="Franklin Gothic Medium" w:hAnsi="Franklin Gothic Medium" w:cs="Arial"/>
                <w:sz w:val="18"/>
                <w:szCs w:val="18"/>
              </w:rPr>
            </w:pPr>
            <w:r w:rsidRPr="00C6748F">
              <w:rPr>
                <w:rFonts w:ascii="Franklin Gothic Medium" w:hAnsi="Franklin Gothic Medium" w:cs="Arial"/>
                <w:sz w:val="18"/>
                <w:szCs w:val="18"/>
              </w:rPr>
              <w:t>Indicador que será cumplido del 01 de Enero al 31 de Diciembre de 2015. A la fecha, se está dando aplicación a lo contemplado en la Ley 610 de 2000 y lo dispuesto en la Ley 1474 de 2011.</w:t>
            </w:r>
          </w:p>
        </w:tc>
        <w:tc>
          <w:tcPr>
            <w:tcW w:w="3402" w:type="dxa"/>
            <w:gridSpan w:val="11"/>
            <w:tcBorders>
              <w:left w:val="single" w:sz="4" w:space="0" w:color="auto"/>
              <w:right w:val="nil"/>
            </w:tcBorders>
            <w:shd w:val="clear" w:color="auto" w:fill="auto"/>
            <w:noWrap/>
            <w:vAlign w:val="center"/>
            <w:hideMark/>
          </w:tcPr>
          <w:p w:rsidR="00334D13" w:rsidRPr="00C6748F" w:rsidRDefault="00334D13" w:rsidP="006134A3">
            <w:pPr>
              <w:rPr>
                <w:rFonts w:ascii="Arial" w:hAnsi="Arial" w:cs="Arial"/>
                <w:sz w:val="20"/>
                <w:szCs w:val="20"/>
              </w:rPr>
            </w:pPr>
          </w:p>
        </w:tc>
      </w:tr>
      <w:tr w:rsidR="00334D13" w:rsidRPr="00C6748F" w:rsidTr="005665A3">
        <w:trPr>
          <w:gridAfter w:val="3"/>
          <w:wAfter w:w="1132" w:type="dxa"/>
          <w:trHeight w:val="594"/>
        </w:trPr>
        <w:tc>
          <w:tcPr>
            <w:tcW w:w="3674" w:type="dxa"/>
            <w:gridSpan w:val="6"/>
            <w:shd w:val="clear" w:color="auto" w:fill="auto"/>
            <w:noWrap/>
            <w:vAlign w:val="center"/>
            <w:hideMark/>
          </w:tcPr>
          <w:p w:rsidR="00334D13" w:rsidRPr="00C6748F" w:rsidRDefault="00334D13" w:rsidP="00C52127">
            <w:pPr>
              <w:pStyle w:val="Default"/>
              <w:jc w:val="center"/>
              <w:rPr>
                <w:sz w:val="20"/>
                <w:szCs w:val="20"/>
              </w:rPr>
            </w:pPr>
            <w:r w:rsidRPr="00C6748F">
              <w:rPr>
                <w:b/>
                <w:bCs/>
                <w:sz w:val="20"/>
                <w:szCs w:val="20"/>
              </w:rPr>
              <w:t>PROCESO VERBAL DE RESPONSABILIDAD FISCAL</w:t>
            </w:r>
          </w:p>
          <w:p w:rsidR="00334D13" w:rsidRPr="00C6748F" w:rsidRDefault="00334D13" w:rsidP="005F01C6">
            <w:pPr>
              <w:jc w:val="center"/>
              <w:rPr>
                <w:rFonts w:ascii="Franklin Gothic Medium" w:hAnsi="Franklin Gothic Medium" w:cs="Arial"/>
                <w:sz w:val="20"/>
                <w:szCs w:val="20"/>
              </w:rPr>
            </w:pPr>
          </w:p>
        </w:tc>
        <w:tc>
          <w:tcPr>
            <w:tcW w:w="4330" w:type="dxa"/>
            <w:gridSpan w:val="7"/>
            <w:shd w:val="clear" w:color="auto" w:fill="auto"/>
            <w:vAlign w:val="center"/>
            <w:hideMark/>
          </w:tcPr>
          <w:p w:rsidR="00334D13" w:rsidRPr="00C6748F" w:rsidRDefault="00334D13" w:rsidP="005F01C6">
            <w:pPr>
              <w:pStyle w:val="Default"/>
              <w:jc w:val="both"/>
              <w:rPr>
                <w:rFonts w:ascii="Franklin Gothic Medium" w:hAnsi="Franklin Gothic Medium"/>
                <w:sz w:val="18"/>
                <w:szCs w:val="18"/>
              </w:rPr>
            </w:pPr>
          </w:p>
        </w:tc>
        <w:tc>
          <w:tcPr>
            <w:tcW w:w="2691" w:type="dxa"/>
            <w:gridSpan w:val="8"/>
            <w:shd w:val="clear" w:color="auto" w:fill="auto"/>
            <w:vAlign w:val="center"/>
            <w:hideMark/>
          </w:tcPr>
          <w:p w:rsidR="00334D13" w:rsidRPr="00C6748F" w:rsidRDefault="00334D13" w:rsidP="005F01C6">
            <w:pPr>
              <w:contextualSpacing/>
              <w:jc w:val="both"/>
              <w:rPr>
                <w:rFonts w:ascii="Franklin Gothic Medium" w:hAnsi="Franklin Gothic Medium"/>
                <w:sz w:val="18"/>
                <w:szCs w:val="18"/>
              </w:rPr>
            </w:pPr>
          </w:p>
        </w:tc>
        <w:tc>
          <w:tcPr>
            <w:tcW w:w="1699" w:type="dxa"/>
            <w:gridSpan w:val="6"/>
            <w:shd w:val="clear" w:color="auto" w:fill="auto"/>
            <w:vAlign w:val="center"/>
            <w:hideMark/>
          </w:tcPr>
          <w:p w:rsidR="00334D13" w:rsidRPr="00C6748F" w:rsidRDefault="00334D13" w:rsidP="005F01C6">
            <w:pPr>
              <w:jc w:val="center"/>
              <w:rPr>
                <w:rFonts w:ascii="Franklin Gothic Medium" w:eastAsia="Calibri" w:hAnsi="Franklin Gothic Medium" w:cs="Arial"/>
                <w:sz w:val="20"/>
                <w:szCs w:val="20"/>
              </w:rPr>
            </w:pPr>
          </w:p>
        </w:tc>
        <w:tc>
          <w:tcPr>
            <w:tcW w:w="1557" w:type="dxa"/>
            <w:gridSpan w:val="5"/>
            <w:shd w:val="clear" w:color="auto" w:fill="auto"/>
            <w:vAlign w:val="center"/>
            <w:hideMark/>
          </w:tcPr>
          <w:p w:rsidR="00334D13" w:rsidRPr="00C6748F" w:rsidRDefault="00334D13" w:rsidP="005F01C6">
            <w:pPr>
              <w:jc w:val="center"/>
              <w:rPr>
                <w:rFonts w:ascii="Franklin Gothic Medium" w:hAnsi="Franklin Gothic Medium" w:cs="Arial"/>
                <w:sz w:val="18"/>
                <w:szCs w:val="18"/>
              </w:rPr>
            </w:pPr>
          </w:p>
        </w:tc>
        <w:tc>
          <w:tcPr>
            <w:tcW w:w="1721" w:type="dxa"/>
            <w:gridSpan w:val="4"/>
            <w:shd w:val="clear" w:color="auto" w:fill="auto"/>
            <w:vAlign w:val="center"/>
            <w:hideMark/>
          </w:tcPr>
          <w:p w:rsidR="00334D13" w:rsidRPr="00C6748F" w:rsidRDefault="00334D13" w:rsidP="005F01C6">
            <w:pPr>
              <w:jc w:val="center"/>
              <w:rPr>
                <w:rFonts w:ascii="Franklin Gothic Medium" w:hAnsi="Franklin Gothic Medium" w:cs="Arial"/>
                <w:sz w:val="18"/>
                <w:szCs w:val="18"/>
              </w:rPr>
            </w:pPr>
          </w:p>
        </w:tc>
        <w:tc>
          <w:tcPr>
            <w:tcW w:w="160" w:type="dxa"/>
            <w:shd w:val="clear" w:color="auto" w:fill="auto"/>
            <w:vAlign w:val="center"/>
            <w:hideMark/>
          </w:tcPr>
          <w:p w:rsidR="00334D13" w:rsidRPr="00C6748F" w:rsidRDefault="00334D13" w:rsidP="005F01C6">
            <w:pPr>
              <w:jc w:val="both"/>
              <w:rPr>
                <w:rFonts w:ascii="Franklin Gothic Medium" w:hAnsi="Franklin Gothic Medium" w:cs="Arial"/>
                <w:sz w:val="18"/>
                <w:szCs w:val="18"/>
              </w:rPr>
            </w:pPr>
          </w:p>
        </w:tc>
        <w:tc>
          <w:tcPr>
            <w:tcW w:w="2981" w:type="dxa"/>
            <w:gridSpan w:val="5"/>
            <w:shd w:val="clear" w:color="auto" w:fill="auto"/>
            <w:vAlign w:val="center"/>
            <w:hideMark/>
          </w:tcPr>
          <w:p w:rsidR="00334D13" w:rsidRPr="00C6748F" w:rsidRDefault="00334D13" w:rsidP="005F01C6">
            <w:pPr>
              <w:jc w:val="both"/>
              <w:rPr>
                <w:rFonts w:ascii="Franklin Gothic Medium" w:hAnsi="Franklin Gothic Medium" w:cs="Arial"/>
                <w:sz w:val="18"/>
                <w:szCs w:val="18"/>
              </w:rPr>
            </w:pPr>
          </w:p>
        </w:tc>
        <w:tc>
          <w:tcPr>
            <w:tcW w:w="252" w:type="dxa"/>
            <w:tcBorders>
              <w:left w:val="nil"/>
              <w:right w:val="nil"/>
            </w:tcBorders>
            <w:shd w:val="clear" w:color="auto" w:fill="auto"/>
            <w:noWrap/>
            <w:vAlign w:val="center"/>
            <w:hideMark/>
          </w:tcPr>
          <w:p w:rsidR="00334D13" w:rsidRPr="00C6748F" w:rsidRDefault="00334D13" w:rsidP="006134A3">
            <w:pPr>
              <w:rPr>
                <w:rFonts w:ascii="Arial" w:hAnsi="Arial" w:cs="Arial"/>
                <w:sz w:val="20"/>
                <w:szCs w:val="20"/>
              </w:rPr>
            </w:pPr>
          </w:p>
        </w:tc>
      </w:tr>
      <w:tr w:rsidR="00334D13" w:rsidRPr="00C6748F" w:rsidTr="005665A3">
        <w:trPr>
          <w:gridAfter w:val="6"/>
          <w:wAfter w:w="3329" w:type="dxa"/>
          <w:trHeight w:val="594"/>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D13" w:rsidRPr="00C6748F" w:rsidRDefault="00334D13" w:rsidP="005F01C6">
            <w:pPr>
              <w:jc w:val="center"/>
              <w:rPr>
                <w:rFonts w:ascii="Franklin Gothic Medium" w:hAnsi="Franklin Gothic Medium" w:cs="Arial"/>
                <w:sz w:val="20"/>
                <w:szCs w:val="20"/>
              </w:rPr>
            </w:pPr>
            <w:r w:rsidRPr="00C6748F">
              <w:rPr>
                <w:rFonts w:ascii="Franklin Gothic Medium" w:hAnsi="Franklin Gothic Medium" w:cs="Arial"/>
                <w:sz w:val="20"/>
                <w:szCs w:val="20"/>
              </w:rPr>
              <w:t>10</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pStyle w:val="Default"/>
              <w:jc w:val="both"/>
              <w:rPr>
                <w:rFonts w:ascii="Franklin Gothic Medium" w:hAnsi="Franklin Gothic Medium"/>
                <w:sz w:val="18"/>
                <w:szCs w:val="18"/>
              </w:rPr>
            </w:pPr>
            <w:r w:rsidRPr="00C6748F">
              <w:rPr>
                <w:rFonts w:ascii="Franklin Gothic Medium" w:hAnsi="Franklin Gothic Medium"/>
                <w:sz w:val="18"/>
                <w:szCs w:val="18"/>
              </w:rPr>
              <w:t xml:space="preserve">Al momento de efectuar la visita de campo a la Contraloría Municipal de Bucaramanga, se observó que los audios y demás </w:t>
            </w:r>
            <w:r w:rsidRPr="00C6748F">
              <w:rPr>
                <w:rFonts w:ascii="Franklin Gothic Medium" w:hAnsi="Franklin Gothic Medium"/>
                <w:sz w:val="18"/>
                <w:szCs w:val="18"/>
              </w:rPr>
              <w:lastRenderedPageBreak/>
              <w:t xml:space="preserve">pruebas de carácter tecnológico, las tiene guardadas la abogada sustanciadora en un </w:t>
            </w:r>
            <w:r w:rsidRPr="00C6748F">
              <w:rPr>
                <w:rFonts w:ascii="Franklin Gothic Medium" w:hAnsi="Franklin Gothic Medium"/>
                <w:i/>
                <w:iCs/>
                <w:sz w:val="18"/>
                <w:szCs w:val="18"/>
              </w:rPr>
              <w:t xml:space="preserve">backup </w:t>
            </w:r>
            <w:r w:rsidRPr="00C6748F">
              <w:rPr>
                <w:rFonts w:ascii="Franklin Gothic Medium" w:hAnsi="Franklin Gothic Medium"/>
                <w:sz w:val="18"/>
                <w:szCs w:val="18"/>
              </w:rPr>
              <w:t xml:space="preserve">de su computador. Lo anterior, en atención a la contraloría no ha adoptado los mecanismos que considere necesarios para que las mismas, se conserven en lugares seguros. </w:t>
            </w:r>
          </w:p>
          <w:p w:rsidR="00334D13" w:rsidRPr="00C6748F" w:rsidRDefault="00334D13" w:rsidP="00E7190A">
            <w:pPr>
              <w:jc w:val="both"/>
              <w:rPr>
                <w:rFonts w:ascii="Franklin Gothic Medium" w:hAnsi="Franklin Gothic Medium" w:cs="Arial"/>
                <w:sz w:val="18"/>
                <w:szCs w:val="18"/>
                <w:lang w:val="es-CO"/>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both"/>
              <w:rPr>
                <w:rFonts w:ascii="Franklin Gothic Medium" w:hAnsi="Franklin Gothic Medium" w:cs="Arial"/>
                <w:sz w:val="18"/>
                <w:szCs w:val="18"/>
              </w:rPr>
            </w:pPr>
            <w:r w:rsidRPr="00C6748F">
              <w:rPr>
                <w:rFonts w:ascii="Franklin Gothic Medium" w:hAnsi="Franklin Gothic Medium" w:cs="Arial"/>
                <w:sz w:val="18"/>
                <w:szCs w:val="18"/>
              </w:rPr>
              <w:lastRenderedPageBreak/>
              <w:t xml:space="preserve">La Contraloría Municipal adelantará las gestiones </w:t>
            </w:r>
            <w:r w:rsidRPr="00C6748F">
              <w:rPr>
                <w:rFonts w:ascii="Franklin Gothic Medium" w:hAnsi="Franklin Gothic Medium" w:cs="Arial"/>
                <w:sz w:val="18"/>
                <w:szCs w:val="18"/>
              </w:rPr>
              <w:lastRenderedPageBreak/>
              <w:t>necesarias con el propósito de contar con mecanismos necesarios y seguros para la guarda del material utilizado para el desarrollo de las Audiencias Verbales de Responsabilidad Fiscal</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eastAsia="Calibri" w:hAnsi="Franklin Gothic Medium" w:cs="Arial"/>
                <w:sz w:val="20"/>
                <w:szCs w:val="20"/>
              </w:rPr>
              <w:lastRenderedPageBreak/>
              <w:t xml:space="preserve">Grupo de Responsabilidad Fiscal, responsables, SubContralor, </w:t>
            </w:r>
            <w:r w:rsidRPr="00C6748F">
              <w:rPr>
                <w:rFonts w:ascii="Franklin Gothic Medium" w:eastAsia="Calibri" w:hAnsi="Franklin Gothic Medium" w:cs="Arial"/>
                <w:sz w:val="20"/>
                <w:szCs w:val="20"/>
              </w:rPr>
              <w:lastRenderedPageBreak/>
              <w:t>Profesionales Universitarios o Especializados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lastRenderedPageBreak/>
              <w:t>Enero 01 a 31 de Marzo de 2015</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100%</w:t>
            </w: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both"/>
              <w:rPr>
                <w:rFonts w:ascii="Franklin Gothic Medium" w:eastAsia="Calibri" w:hAnsi="Franklin Gothic Medium" w:cs="Arial"/>
                <w:sz w:val="20"/>
                <w:szCs w:val="20"/>
              </w:rPr>
            </w:pPr>
            <w:r w:rsidRPr="00C6748F">
              <w:rPr>
                <w:rFonts w:ascii="Franklin Gothic Medium" w:eastAsia="Calibri" w:hAnsi="Franklin Gothic Medium" w:cs="Arial"/>
                <w:sz w:val="20"/>
                <w:szCs w:val="20"/>
              </w:rPr>
              <w:t>Gestiones programadas/Gestiones realizadas</w:t>
            </w:r>
          </w:p>
          <w:p w:rsidR="00334D13" w:rsidRPr="00C6748F" w:rsidRDefault="00334D13" w:rsidP="00E7190A">
            <w:pPr>
              <w:jc w:val="center"/>
              <w:rPr>
                <w:rFonts w:ascii="Franklin Gothic Medium" w:hAnsi="Franklin Gothic Medium" w:cs="Arial"/>
                <w:sz w:val="18"/>
                <w:szCs w:val="18"/>
              </w:rPr>
            </w:pPr>
          </w:p>
        </w:tc>
        <w:tc>
          <w:tcPr>
            <w:tcW w:w="15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EA7226" w:rsidP="00E7190A">
            <w:pPr>
              <w:jc w:val="both"/>
              <w:rPr>
                <w:rFonts w:ascii="Franklin Gothic Medium" w:hAnsi="Franklin Gothic Medium" w:cs="Arial"/>
                <w:sz w:val="18"/>
                <w:szCs w:val="18"/>
              </w:rPr>
            </w:pPr>
            <w:r w:rsidRPr="00C6748F">
              <w:rPr>
                <w:rFonts w:ascii="Franklin Gothic Medium" w:hAnsi="Franklin Gothic Medium" w:cs="Arial"/>
                <w:sz w:val="18"/>
                <w:szCs w:val="18"/>
              </w:rPr>
              <w:t xml:space="preserve">A la fecha, se cuenta con un Disco Duro que es de uso exclusivo </w:t>
            </w:r>
            <w:r w:rsidRPr="00C6748F">
              <w:rPr>
                <w:rFonts w:ascii="Franklin Gothic Medium" w:hAnsi="Franklin Gothic Medium" w:cs="Arial"/>
                <w:sz w:val="18"/>
                <w:szCs w:val="18"/>
              </w:rPr>
              <w:lastRenderedPageBreak/>
              <w:t xml:space="preserve">para la guarda de los Audios y demás pruebas de carácter tecnológico, el cual se encuentra bajo llave en la oficina de archivo de la </w:t>
            </w:r>
            <w:proofErr w:type="spellStart"/>
            <w:r w:rsidRPr="00C6748F">
              <w:rPr>
                <w:rFonts w:ascii="Franklin Gothic Medium" w:hAnsi="Franklin Gothic Medium" w:cs="Arial"/>
                <w:sz w:val="18"/>
                <w:szCs w:val="18"/>
              </w:rPr>
              <w:t>Subcontraloría</w:t>
            </w:r>
            <w:proofErr w:type="spellEnd"/>
            <w:r w:rsidRPr="00C6748F">
              <w:rPr>
                <w:rFonts w:ascii="Franklin Gothic Medium" w:hAnsi="Franklin Gothic Medium" w:cs="Arial"/>
                <w:sz w:val="18"/>
                <w:szCs w:val="18"/>
              </w:rPr>
              <w:t>.</w:t>
            </w:r>
          </w:p>
        </w:tc>
        <w:tc>
          <w:tcPr>
            <w:tcW w:w="3260" w:type="dxa"/>
            <w:gridSpan w:val="9"/>
            <w:tcBorders>
              <w:top w:val="nil"/>
              <w:left w:val="single" w:sz="4" w:space="0" w:color="auto"/>
              <w:bottom w:val="nil"/>
              <w:right w:val="nil"/>
            </w:tcBorders>
            <w:shd w:val="clear" w:color="auto" w:fill="auto"/>
            <w:noWrap/>
            <w:vAlign w:val="center"/>
            <w:hideMark/>
          </w:tcPr>
          <w:p w:rsidR="00334D13" w:rsidRPr="00C6748F" w:rsidRDefault="00334D13" w:rsidP="006134A3">
            <w:pPr>
              <w:rPr>
                <w:rFonts w:ascii="Arial" w:hAnsi="Arial" w:cs="Arial"/>
                <w:sz w:val="20"/>
                <w:szCs w:val="20"/>
              </w:rPr>
            </w:pPr>
          </w:p>
        </w:tc>
      </w:tr>
      <w:tr w:rsidR="00334D13" w:rsidRPr="00C6748F" w:rsidTr="005665A3">
        <w:trPr>
          <w:gridAfter w:val="2"/>
          <w:wAfter w:w="887" w:type="dxa"/>
          <w:trHeight w:val="594"/>
        </w:trPr>
        <w:tc>
          <w:tcPr>
            <w:tcW w:w="3958" w:type="dxa"/>
            <w:gridSpan w:val="7"/>
            <w:shd w:val="clear" w:color="auto" w:fill="auto"/>
            <w:noWrap/>
            <w:vAlign w:val="center"/>
            <w:hideMark/>
          </w:tcPr>
          <w:p w:rsidR="00334D13" w:rsidRPr="00C6748F" w:rsidRDefault="00334D13" w:rsidP="00E90983">
            <w:pPr>
              <w:pStyle w:val="Default"/>
              <w:jc w:val="center"/>
              <w:rPr>
                <w:b/>
                <w:bCs/>
                <w:sz w:val="20"/>
                <w:szCs w:val="20"/>
              </w:rPr>
            </w:pPr>
            <w:r w:rsidRPr="00C6748F">
              <w:rPr>
                <w:b/>
                <w:bCs/>
                <w:sz w:val="20"/>
                <w:szCs w:val="20"/>
              </w:rPr>
              <w:lastRenderedPageBreak/>
              <w:t xml:space="preserve">PROCESOS DE JURISDICCIÓN COACTIVA </w:t>
            </w:r>
          </w:p>
          <w:p w:rsidR="00334D13" w:rsidRPr="00C6748F" w:rsidRDefault="00334D13" w:rsidP="00E90983">
            <w:pPr>
              <w:pStyle w:val="Default"/>
              <w:jc w:val="center"/>
              <w:rPr>
                <w:sz w:val="20"/>
                <w:szCs w:val="20"/>
              </w:rPr>
            </w:pPr>
          </w:p>
        </w:tc>
        <w:tc>
          <w:tcPr>
            <w:tcW w:w="4330" w:type="dxa"/>
            <w:gridSpan w:val="7"/>
            <w:shd w:val="clear" w:color="auto" w:fill="auto"/>
            <w:vAlign w:val="center"/>
            <w:hideMark/>
          </w:tcPr>
          <w:p w:rsidR="00334D13" w:rsidRPr="00C6748F" w:rsidRDefault="00334D13" w:rsidP="005F01C6">
            <w:pPr>
              <w:pStyle w:val="Default"/>
              <w:jc w:val="both"/>
              <w:rPr>
                <w:rFonts w:ascii="Franklin Gothic Medium" w:hAnsi="Franklin Gothic Medium"/>
                <w:sz w:val="18"/>
                <w:szCs w:val="18"/>
              </w:rPr>
            </w:pPr>
          </w:p>
        </w:tc>
        <w:tc>
          <w:tcPr>
            <w:tcW w:w="2691" w:type="dxa"/>
            <w:gridSpan w:val="8"/>
            <w:shd w:val="clear" w:color="auto" w:fill="auto"/>
            <w:vAlign w:val="center"/>
            <w:hideMark/>
          </w:tcPr>
          <w:p w:rsidR="00334D13" w:rsidRPr="00C6748F" w:rsidRDefault="00334D13" w:rsidP="005F01C6">
            <w:pPr>
              <w:contextualSpacing/>
              <w:jc w:val="both"/>
              <w:rPr>
                <w:rFonts w:ascii="Franklin Gothic Medium" w:hAnsi="Franklin Gothic Medium"/>
                <w:sz w:val="18"/>
                <w:szCs w:val="18"/>
              </w:rPr>
            </w:pPr>
          </w:p>
        </w:tc>
        <w:tc>
          <w:tcPr>
            <w:tcW w:w="1699" w:type="dxa"/>
            <w:gridSpan w:val="6"/>
            <w:shd w:val="clear" w:color="auto" w:fill="auto"/>
            <w:vAlign w:val="center"/>
            <w:hideMark/>
          </w:tcPr>
          <w:p w:rsidR="00334D13" w:rsidRPr="00C6748F" w:rsidRDefault="00334D13" w:rsidP="005F01C6">
            <w:pPr>
              <w:jc w:val="center"/>
              <w:rPr>
                <w:rFonts w:ascii="Franklin Gothic Medium" w:eastAsia="Calibri" w:hAnsi="Franklin Gothic Medium" w:cs="Arial"/>
                <w:sz w:val="20"/>
                <w:szCs w:val="20"/>
              </w:rPr>
            </w:pPr>
          </w:p>
        </w:tc>
        <w:tc>
          <w:tcPr>
            <w:tcW w:w="1557" w:type="dxa"/>
            <w:gridSpan w:val="5"/>
            <w:shd w:val="clear" w:color="auto" w:fill="auto"/>
            <w:vAlign w:val="center"/>
            <w:hideMark/>
          </w:tcPr>
          <w:p w:rsidR="00334D13" w:rsidRPr="00C6748F" w:rsidRDefault="00334D13" w:rsidP="005F01C6">
            <w:pPr>
              <w:jc w:val="center"/>
              <w:rPr>
                <w:rFonts w:ascii="Franklin Gothic Medium" w:hAnsi="Franklin Gothic Medium" w:cs="Arial"/>
                <w:sz w:val="18"/>
                <w:szCs w:val="18"/>
              </w:rPr>
            </w:pPr>
          </w:p>
        </w:tc>
        <w:tc>
          <w:tcPr>
            <w:tcW w:w="1721" w:type="dxa"/>
            <w:gridSpan w:val="5"/>
            <w:shd w:val="clear" w:color="auto" w:fill="auto"/>
            <w:vAlign w:val="center"/>
            <w:hideMark/>
          </w:tcPr>
          <w:p w:rsidR="00334D13" w:rsidRPr="00C6748F" w:rsidRDefault="00334D13" w:rsidP="005F01C6">
            <w:pPr>
              <w:jc w:val="center"/>
              <w:rPr>
                <w:rFonts w:ascii="Franklin Gothic Medium" w:hAnsi="Franklin Gothic Medium" w:cs="Arial"/>
                <w:sz w:val="18"/>
                <w:szCs w:val="18"/>
              </w:rPr>
            </w:pPr>
          </w:p>
        </w:tc>
        <w:tc>
          <w:tcPr>
            <w:tcW w:w="912" w:type="dxa"/>
            <w:gridSpan w:val="2"/>
            <w:shd w:val="clear" w:color="auto" w:fill="auto"/>
            <w:vAlign w:val="center"/>
            <w:hideMark/>
          </w:tcPr>
          <w:p w:rsidR="00334D13" w:rsidRPr="00C6748F" w:rsidRDefault="00334D13" w:rsidP="005F01C6">
            <w:pPr>
              <w:jc w:val="both"/>
              <w:rPr>
                <w:rFonts w:ascii="Franklin Gothic Medium" w:hAnsi="Franklin Gothic Medium" w:cs="Arial"/>
                <w:sz w:val="18"/>
                <w:szCs w:val="18"/>
              </w:rPr>
            </w:pPr>
          </w:p>
        </w:tc>
        <w:tc>
          <w:tcPr>
            <w:tcW w:w="2197" w:type="dxa"/>
            <w:gridSpan w:val="3"/>
            <w:shd w:val="clear" w:color="auto" w:fill="auto"/>
            <w:vAlign w:val="center"/>
            <w:hideMark/>
          </w:tcPr>
          <w:p w:rsidR="00334D13" w:rsidRPr="00C6748F" w:rsidRDefault="00334D13" w:rsidP="005F01C6">
            <w:pPr>
              <w:jc w:val="both"/>
              <w:rPr>
                <w:rFonts w:ascii="Franklin Gothic Medium" w:hAnsi="Franklin Gothic Medium" w:cs="Arial"/>
                <w:sz w:val="18"/>
                <w:szCs w:val="18"/>
              </w:rPr>
            </w:pPr>
          </w:p>
        </w:tc>
        <w:tc>
          <w:tcPr>
            <w:tcW w:w="245" w:type="dxa"/>
            <w:tcBorders>
              <w:left w:val="nil"/>
              <w:right w:val="nil"/>
            </w:tcBorders>
            <w:shd w:val="clear" w:color="auto" w:fill="auto"/>
            <w:noWrap/>
            <w:vAlign w:val="center"/>
            <w:hideMark/>
          </w:tcPr>
          <w:p w:rsidR="00334D13" w:rsidRPr="00C6748F" w:rsidRDefault="00334D13" w:rsidP="006134A3">
            <w:pPr>
              <w:rPr>
                <w:rFonts w:ascii="Arial" w:hAnsi="Arial" w:cs="Arial"/>
                <w:sz w:val="20"/>
                <w:szCs w:val="20"/>
              </w:rPr>
            </w:pPr>
          </w:p>
        </w:tc>
      </w:tr>
      <w:tr w:rsidR="00334D13" w:rsidRPr="00C6748F" w:rsidTr="009633F1">
        <w:trPr>
          <w:gridAfter w:val="6"/>
          <w:wAfter w:w="3329" w:type="dxa"/>
          <w:trHeight w:val="25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D13" w:rsidRPr="00C6748F" w:rsidRDefault="00334D13" w:rsidP="005F01C6">
            <w:pPr>
              <w:rPr>
                <w:rFonts w:ascii="Franklin Gothic Medium" w:hAnsi="Franklin Gothic Medium" w:cs="Arial"/>
                <w:sz w:val="20"/>
                <w:szCs w:val="20"/>
              </w:rPr>
            </w:pPr>
          </w:p>
          <w:p w:rsidR="00334D13" w:rsidRPr="00C6748F" w:rsidRDefault="00334D13" w:rsidP="005F01C6">
            <w:pPr>
              <w:rPr>
                <w:rFonts w:ascii="Franklin Gothic Medium" w:hAnsi="Franklin Gothic Medium" w:cs="Arial"/>
                <w:sz w:val="20"/>
                <w:szCs w:val="20"/>
              </w:rPr>
            </w:pPr>
          </w:p>
          <w:p w:rsidR="00334D13" w:rsidRPr="00C6748F" w:rsidRDefault="00334D13" w:rsidP="005F01C6">
            <w:pPr>
              <w:rPr>
                <w:rFonts w:ascii="Franklin Gothic Medium" w:hAnsi="Franklin Gothic Medium" w:cs="Arial"/>
                <w:sz w:val="20"/>
                <w:szCs w:val="20"/>
              </w:rPr>
            </w:pPr>
          </w:p>
          <w:p w:rsidR="00334D13" w:rsidRPr="00C6748F" w:rsidRDefault="00334D13" w:rsidP="005F01C6">
            <w:pPr>
              <w:rPr>
                <w:rFonts w:ascii="Franklin Gothic Medium" w:hAnsi="Franklin Gothic Medium" w:cs="Arial"/>
                <w:sz w:val="20"/>
                <w:szCs w:val="20"/>
              </w:rPr>
            </w:pPr>
          </w:p>
          <w:p w:rsidR="00334D13" w:rsidRPr="00C6748F" w:rsidRDefault="00334D13" w:rsidP="005F01C6">
            <w:pPr>
              <w:jc w:val="center"/>
              <w:rPr>
                <w:rFonts w:ascii="Franklin Gothic Medium" w:hAnsi="Franklin Gothic Medium" w:cs="Arial"/>
                <w:sz w:val="20"/>
                <w:szCs w:val="20"/>
              </w:rPr>
            </w:pPr>
            <w:r w:rsidRPr="00C6748F">
              <w:rPr>
                <w:rFonts w:ascii="Franklin Gothic Medium" w:hAnsi="Franklin Gothic Medium" w:cs="Arial"/>
                <w:sz w:val="20"/>
                <w:szCs w:val="20"/>
              </w:rPr>
              <w:t>11</w:t>
            </w:r>
          </w:p>
          <w:p w:rsidR="00334D13" w:rsidRPr="00C6748F" w:rsidRDefault="00334D13" w:rsidP="005F01C6">
            <w:pPr>
              <w:rPr>
                <w:rFonts w:ascii="Franklin Gothic Medium" w:hAnsi="Franklin Gothic Medium" w:cs="Arial"/>
                <w:sz w:val="20"/>
                <w:szCs w:val="20"/>
              </w:rPr>
            </w:pPr>
          </w:p>
          <w:p w:rsidR="00334D13" w:rsidRPr="00C6748F" w:rsidRDefault="00334D13" w:rsidP="005F01C6">
            <w:pPr>
              <w:rPr>
                <w:rFonts w:ascii="Franklin Gothic Medium" w:hAnsi="Franklin Gothic Medium" w:cs="Arial"/>
                <w:sz w:val="20"/>
                <w:szCs w:val="20"/>
              </w:rPr>
            </w:pPr>
          </w:p>
          <w:p w:rsidR="00334D13" w:rsidRPr="00C6748F" w:rsidRDefault="00334D13" w:rsidP="005F01C6">
            <w:pPr>
              <w:rPr>
                <w:rFonts w:ascii="Franklin Gothic Medium" w:hAnsi="Franklin Gothic Medium" w:cs="Arial"/>
                <w:sz w:val="20"/>
                <w:szCs w:val="20"/>
              </w:rPr>
            </w:pP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both"/>
              <w:rPr>
                <w:rFonts w:ascii="Franklin Gothic Medium" w:hAnsi="Franklin Gothic Medium" w:cs="Arial"/>
                <w:sz w:val="18"/>
                <w:szCs w:val="18"/>
              </w:rPr>
            </w:pPr>
            <w:r w:rsidRPr="00C6748F">
              <w:rPr>
                <w:rFonts w:ascii="Franklin Gothic Medium" w:hAnsi="Franklin Gothic Medium" w:cs="Arial"/>
                <w:sz w:val="18"/>
                <w:szCs w:val="18"/>
              </w:rPr>
              <w:t>En el proceso 02-2010 a la fecha de auditoria no se ha dictado sentencia que ordena seguir adelante la ejecución</w:t>
            </w:r>
          </w:p>
          <w:p w:rsidR="00334D13" w:rsidRPr="00C6748F" w:rsidRDefault="00334D13" w:rsidP="00E7190A">
            <w:pPr>
              <w:jc w:val="both"/>
              <w:rPr>
                <w:rFonts w:ascii="Franklin Gothic Medium" w:hAnsi="Franklin Gothic Medium" w:cs="Arial"/>
                <w:sz w:val="18"/>
                <w:szCs w:val="18"/>
              </w:rPr>
            </w:pP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contextualSpacing/>
              <w:jc w:val="both"/>
              <w:rPr>
                <w:rFonts w:ascii="Franklin Gothic Medium" w:hAnsi="Franklin Gothic Medium"/>
                <w:sz w:val="18"/>
                <w:szCs w:val="18"/>
              </w:rPr>
            </w:pPr>
            <w:r w:rsidRPr="00C6748F">
              <w:rPr>
                <w:rFonts w:ascii="Franklin Gothic Medium" w:hAnsi="Franklin Gothic Medium"/>
                <w:sz w:val="18"/>
                <w:szCs w:val="18"/>
              </w:rPr>
              <w:t xml:space="preserve">La </w:t>
            </w:r>
            <w:proofErr w:type="spellStart"/>
            <w:r w:rsidRPr="00C6748F">
              <w:rPr>
                <w:rFonts w:ascii="Franklin Gothic Medium" w:hAnsi="Franklin Gothic Medium"/>
                <w:sz w:val="18"/>
                <w:szCs w:val="18"/>
              </w:rPr>
              <w:t>SubContraloría</w:t>
            </w:r>
            <w:proofErr w:type="spellEnd"/>
            <w:r w:rsidRPr="00C6748F">
              <w:rPr>
                <w:rFonts w:ascii="Franklin Gothic Medium" w:hAnsi="Franklin Gothic Medium"/>
                <w:sz w:val="18"/>
                <w:szCs w:val="18"/>
              </w:rPr>
              <w:t xml:space="preserve"> Municipal, los funcionarios encargados del área de Jurisdicción Coactiva, dará impulso a los Procesos teniendo en cuenta criterios de celeridad, eficiencia y eficacia, de acuerdo a la normatividad Vigente, específicamente en lo relacionado con la oportunidad en sus pronunciamientos.</w:t>
            </w:r>
          </w:p>
          <w:p w:rsidR="00334D13" w:rsidRPr="00C6748F" w:rsidRDefault="00334D13" w:rsidP="00E7190A">
            <w:pPr>
              <w:contextualSpacing/>
              <w:jc w:val="both"/>
              <w:rPr>
                <w:rFonts w:ascii="Franklin Gothic Medium" w:hAnsi="Franklin Gothic Medium"/>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center"/>
              <w:rPr>
                <w:rFonts w:ascii="Franklin Gothic Medium" w:eastAsia="Calibri" w:hAnsi="Franklin Gothic Medium" w:cs="Arial"/>
                <w:sz w:val="20"/>
                <w:szCs w:val="20"/>
              </w:rPr>
            </w:pPr>
            <w:r w:rsidRPr="00C6748F">
              <w:rPr>
                <w:rFonts w:ascii="Franklin Gothic Medium" w:eastAsia="Calibri" w:hAnsi="Franklin Gothic Medium" w:cs="Arial"/>
                <w:sz w:val="20"/>
                <w:szCs w:val="20"/>
              </w:rPr>
              <w:t>Proceso de Jurisdicción Coactiva, responsables, SubContralor, Profesionales Universitarios o Especializados</w:t>
            </w:r>
          </w:p>
          <w:p w:rsidR="00334D13" w:rsidRPr="00C6748F" w:rsidRDefault="00334D13" w:rsidP="00E7190A">
            <w:pPr>
              <w:jc w:val="center"/>
              <w:rPr>
                <w:rFonts w:ascii="Franklin Gothic Medium" w:hAnsi="Franklin Gothic Medium" w:cs="Arial"/>
                <w:sz w:val="18"/>
                <w:szCs w:val="1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Enero 01 a 31 de Diciembre de 2015</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100%</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Aplicación de la normatividad Vigente</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C6748F" w:rsidRDefault="00EA7226" w:rsidP="00E7190A">
            <w:pPr>
              <w:jc w:val="both"/>
              <w:rPr>
                <w:rFonts w:ascii="Franklin Gothic Medium" w:hAnsi="Franklin Gothic Medium" w:cs="Arial"/>
                <w:sz w:val="18"/>
                <w:szCs w:val="18"/>
              </w:rPr>
            </w:pPr>
            <w:r w:rsidRPr="00C6748F">
              <w:rPr>
                <w:rFonts w:ascii="Franklin Gothic Medium" w:hAnsi="Franklin Gothic Medium" w:cs="Arial"/>
                <w:sz w:val="18"/>
                <w:szCs w:val="18"/>
              </w:rPr>
              <w:t>Con el fin de impulsar, brindar celeridad, eficacia y eficiencia al mencionado proceso, el indicador se cumplió de manera inmediata el día 11 de Diciembre de 2014.</w:t>
            </w:r>
          </w:p>
        </w:tc>
        <w:tc>
          <w:tcPr>
            <w:tcW w:w="3260" w:type="dxa"/>
            <w:gridSpan w:val="9"/>
            <w:tcBorders>
              <w:top w:val="nil"/>
              <w:left w:val="single" w:sz="4" w:space="0" w:color="auto"/>
              <w:bottom w:val="nil"/>
              <w:right w:val="nil"/>
            </w:tcBorders>
            <w:shd w:val="clear" w:color="auto" w:fill="auto"/>
            <w:noWrap/>
            <w:vAlign w:val="center"/>
            <w:hideMark/>
          </w:tcPr>
          <w:p w:rsidR="00334D13" w:rsidRPr="00C6748F" w:rsidRDefault="00334D13" w:rsidP="006134A3">
            <w:pPr>
              <w:rPr>
                <w:rFonts w:ascii="Arial" w:hAnsi="Arial" w:cs="Arial"/>
                <w:sz w:val="20"/>
                <w:szCs w:val="20"/>
              </w:rPr>
            </w:pPr>
          </w:p>
        </w:tc>
      </w:tr>
      <w:tr w:rsidR="00334D13" w:rsidRPr="00A22005" w:rsidTr="009633F1">
        <w:trPr>
          <w:gridAfter w:val="6"/>
          <w:wAfter w:w="3329" w:type="dxa"/>
          <w:trHeight w:val="594"/>
        </w:trPr>
        <w:tc>
          <w:tcPr>
            <w:tcW w:w="70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34D13" w:rsidRPr="00C6748F" w:rsidRDefault="00334D13" w:rsidP="005F01C6">
            <w:pPr>
              <w:jc w:val="center"/>
              <w:rPr>
                <w:rFonts w:ascii="Franklin Gothic Medium" w:hAnsi="Franklin Gothic Medium" w:cs="Arial"/>
                <w:sz w:val="20"/>
                <w:szCs w:val="20"/>
              </w:rPr>
            </w:pPr>
            <w:r w:rsidRPr="00C6748F">
              <w:rPr>
                <w:rFonts w:ascii="Franklin Gothic Medium" w:hAnsi="Franklin Gothic Medium" w:cs="Arial"/>
                <w:sz w:val="20"/>
                <w:szCs w:val="20"/>
              </w:rPr>
              <w:t>12</w:t>
            </w:r>
          </w:p>
        </w:tc>
        <w:tc>
          <w:tcPr>
            <w:tcW w:w="2694" w:type="dxa"/>
            <w:gridSpan w:val="4"/>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both"/>
              <w:rPr>
                <w:rFonts w:ascii="Franklin Gothic Medium" w:hAnsi="Franklin Gothic Medium" w:cs="Arial"/>
                <w:sz w:val="18"/>
                <w:szCs w:val="18"/>
              </w:rPr>
            </w:pPr>
            <w:r w:rsidRPr="00C6748F">
              <w:rPr>
                <w:rFonts w:ascii="Franklin Gothic Medium" w:hAnsi="Franklin Gothic Medium" w:cs="Arial"/>
                <w:sz w:val="18"/>
                <w:szCs w:val="18"/>
              </w:rPr>
              <w:t>No se ha notificado la sentencia que ordena seguir adelante la ejecución en el PJC No.83 ni constancia de notificación por conducta concluyente.</w:t>
            </w:r>
          </w:p>
          <w:p w:rsidR="00334D13" w:rsidRPr="00C6748F" w:rsidRDefault="00334D13" w:rsidP="00E7190A">
            <w:pPr>
              <w:jc w:val="both"/>
              <w:rPr>
                <w:rFonts w:ascii="Franklin Gothic Medium" w:hAnsi="Franklin Gothic Medium" w:cs="Arial"/>
                <w:sz w:val="18"/>
                <w:szCs w:val="18"/>
              </w:rPr>
            </w:pPr>
          </w:p>
          <w:p w:rsidR="00334D13" w:rsidRPr="00C6748F" w:rsidRDefault="00334D13" w:rsidP="00E7190A">
            <w:pPr>
              <w:jc w:val="both"/>
              <w:rPr>
                <w:rFonts w:ascii="Franklin Gothic Medium" w:hAnsi="Franklin Gothic Medium" w:cs="Arial"/>
                <w:sz w:val="18"/>
                <w:szCs w:val="18"/>
              </w:rPr>
            </w:pPr>
          </w:p>
          <w:p w:rsidR="00334D13" w:rsidRPr="00C6748F" w:rsidRDefault="00334D13" w:rsidP="00E7190A">
            <w:pPr>
              <w:jc w:val="both"/>
              <w:rPr>
                <w:rFonts w:ascii="Franklin Gothic Medium" w:hAnsi="Franklin Gothic Medium" w:cs="Arial"/>
                <w:sz w:val="18"/>
                <w:szCs w:val="18"/>
              </w:rPr>
            </w:pPr>
          </w:p>
          <w:p w:rsidR="00334D13" w:rsidRPr="00C6748F" w:rsidRDefault="00334D13" w:rsidP="00E7190A">
            <w:pPr>
              <w:jc w:val="both"/>
              <w:rPr>
                <w:rFonts w:ascii="Franklin Gothic Medium" w:hAnsi="Franklin Gothic Medium" w:cs="Arial"/>
                <w:sz w:val="18"/>
                <w:szCs w:val="18"/>
              </w:rPr>
            </w:pPr>
          </w:p>
          <w:p w:rsidR="00334D13" w:rsidRPr="00C6748F" w:rsidRDefault="00334D13" w:rsidP="00E7190A">
            <w:pPr>
              <w:jc w:val="both"/>
              <w:rPr>
                <w:rFonts w:ascii="Franklin Gothic Medium" w:hAnsi="Franklin Gothic Medium" w:cs="Arial"/>
                <w:sz w:val="18"/>
                <w:szCs w:val="18"/>
              </w:rPr>
            </w:pPr>
          </w:p>
        </w:tc>
        <w:tc>
          <w:tcPr>
            <w:tcW w:w="1984"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contextualSpacing/>
              <w:jc w:val="both"/>
              <w:rPr>
                <w:rFonts w:ascii="Franklin Gothic Medium" w:hAnsi="Franklin Gothic Medium"/>
                <w:sz w:val="18"/>
                <w:szCs w:val="18"/>
              </w:rPr>
            </w:pPr>
          </w:p>
          <w:p w:rsidR="00334D13" w:rsidRPr="00C6748F" w:rsidRDefault="00334D13" w:rsidP="00E7190A">
            <w:pPr>
              <w:contextualSpacing/>
              <w:jc w:val="both"/>
              <w:rPr>
                <w:rFonts w:ascii="Franklin Gothic Medium" w:hAnsi="Franklin Gothic Medium"/>
                <w:sz w:val="18"/>
                <w:szCs w:val="18"/>
              </w:rPr>
            </w:pPr>
          </w:p>
          <w:p w:rsidR="00334D13" w:rsidRPr="00C6748F" w:rsidRDefault="00334D13" w:rsidP="00E7190A">
            <w:pPr>
              <w:contextualSpacing/>
              <w:jc w:val="both"/>
              <w:rPr>
                <w:rFonts w:ascii="Franklin Gothic Medium" w:hAnsi="Franklin Gothic Medium"/>
                <w:sz w:val="18"/>
                <w:szCs w:val="18"/>
              </w:rPr>
            </w:pPr>
            <w:r w:rsidRPr="00C6748F">
              <w:rPr>
                <w:rFonts w:ascii="Franklin Gothic Medium" w:hAnsi="Franklin Gothic Medium"/>
                <w:sz w:val="18"/>
                <w:szCs w:val="18"/>
              </w:rPr>
              <w:t xml:space="preserve">La </w:t>
            </w:r>
            <w:proofErr w:type="spellStart"/>
            <w:r w:rsidRPr="00C6748F">
              <w:rPr>
                <w:rFonts w:ascii="Franklin Gothic Medium" w:hAnsi="Franklin Gothic Medium"/>
                <w:sz w:val="18"/>
                <w:szCs w:val="18"/>
              </w:rPr>
              <w:t>SubContraloría</w:t>
            </w:r>
            <w:proofErr w:type="spellEnd"/>
            <w:r w:rsidRPr="00C6748F">
              <w:rPr>
                <w:rFonts w:ascii="Franklin Gothic Medium" w:hAnsi="Franklin Gothic Medium"/>
                <w:sz w:val="18"/>
                <w:szCs w:val="18"/>
              </w:rPr>
              <w:t xml:space="preserve"> Municipal, los funcionarios </w:t>
            </w:r>
            <w:r w:rsidRPr="00C6748F">
              <w:rPr>
                <w:rFonts w:ascii="Franklin Gothic Medium" w:hAnsi="Franklin Gothic Medium"/>
                <w:sz w:val="18"/>
                <w:szCs w:val="18"/>
              </w:rPr>
              <w:lastRenderedPageBreak/>
              <w:t>encargados del área de Jurisdicción Coactiva, dará impulso teniendo en cuenta criterio de celeridad, eficacia y eficiencia a los procesos, específicamente en lo relacionado con la oportunidad de las notificaciones.</w:t>
            </w:r>
          </w:p>
          <w:p w:rsidR="00334D13" w:rsidRPr="00C6748F" w:rsidRDefault="00334D13" w:rsidP="00E7190A">
            <w:pPr>
              <w:contextualSpacing/>
              <w:jc w:val="both"/>
              <w:rPr>
                <w:rFonts w:ascii="Franklin Gothic Medium" w:hAnsi="Franklin Gothic Medium"/>
                <w:sz w:val="18"/>
                <w:szCs w:val="18"/>
              </w:rPr>
            </w:pPr>
          </w:p>
          <w:p w:rsidR="00334D13" w:rsidRPr="00C6748F" w:rsidRDefault="00334D13" w:rsidP="00E7190A">
            <w:pPr>
              <w:contextualSpacing/>
              <w:jc w:val="both"/>
              <w:rPr>
                <w:rFonts w:ascii="Franklin Gothic Medium" w:hAnsi="Franklin Gothic Medium"/>
                <w:sz w:val="18"/>
                <w:szCs w:val="18"/>
              </w:rPr>
            </w:pPr>
          </w:p>
          <w:p w:rsidR="00334D13" w:rsidRPr="00C6748F" w:rsidRDefault="00334D13" w:rsidP="00E7190A">
            <w:pPr>
              <w:contextualSpacing/>
              <w:jc w:val="both"/>
              <w:rPr>
                <w:rFonts w:ascii="Franklin Gothic Medium" w:hAnsi="Franklin Gothic Medium"/>
                <w:sz w:val="18"/>
                <w:szCs w:val="18"/>
              </w:rPr>
            </w:pPr>
          </w:p>
          <w:p w:rsidR="00334D13" w:rsidRPr="00C6748F" w:rsidRDefault="00334D13" w:rsidP="00E7190A">
            <w:pPr>
              <w:contextualSpacing/>
              <w:jc w:val="both"/>
              <w:rPr>
                <w:rFonts w:ascii="Franklin Gothic Medium" w:hAnsi="Franklin Gothic Medium"/>
                <w:sz w:val="18"/>
                <w:szCs w:val="18"/>
              </w:rPr>
            </w:pPr>
          </w:p>
          <w:p w:rsidR="00334D13" w:rsidRPr="00C6748F" w:rsidRDefault="00334D13" w:rsidP="00E7190A">
            <w:pPr>
              <w:jc w:val="both"/>
              <w:rPr>
                <w:rFonts w:ascii="Franklin Gothic Medium" w:hAnsi="Franklin Gothic Medium" w:cs="Arial"/>
                <w:sz w:val="18"/>
                <w:szCs w:val="18"/>
              </w:rPr>
            </w:pP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eastAsia="Calibri" w:hAnsi="Franklin Gothic Medium" w:cs="Arial"/>
                <w:sz w:val="20"/>
                <w:szCs w:val="20"/>
              </w:rPr>
            </w:pPr>
          </w:p>
          <w:p w:rsidR="00334D13" w:rsidRPr="00C6748F" w:rsidRDefault="00334D13" w:rsidP="00E7190A">
            <w:pPr>
              <w:jc w:val="center"/>
              <w:rPr>
                <w:rFonts w:ascii="Franklin Gothic Medium" w:eastAsia="Calibri" w:hAnsi="Franklin Gothic Medium" w:cs="Arial"/>
                <w:sz w:val="20"/>
                <w:szCs w:val="20"/>
              </w:rPr>
            </w:pPr>
          </w:p>
          <w:p w:rsidR="00334D13" w:rsidRPr="00C6748F" w:rsidRDefault="00334D13" w:rsidP="00E7190A">
            <w:pPr>
              <w:jc w:val="center"/>
              <w:rPr>
                <w:rFonts w:ascii="Franklin Gothic Medium" w:eastAsia="Calibri" w:hAnsi="Franklin Gothic Medium" w:cs="Arial"/>
                <w:sz w:val="20"/>
                <w:szCs w:val="20"/>
              </w:rPr>
            </w:pPr>
            <w:r w:rsidRPr="00C6748F">
              <w:rPr>
                <w:rFonts w:ascii="Franklin Gothic Medium" w:eastAsia="Calibri" w:hAnsi="Franklin Gothic Medium" w:cs="Arial"/>
                <w:sz w:val="20"/>
                <w:szCs w:val="20"/>
              </w:rPr>
              <w:t xml:space="preserve">Proceso de Jurisdicción Coactiva, </w:t>
            </w:r>
            <w:r w:rsidRPr="00C6748F">
              <w:rPr>
                <w:rFonts w:ascii="Franklin Gothic Medium" w:eastAsia="Calibri" w:hAnsi="Franklin Gothic Medium" w:cs="Arial"/>
                <w:sz w:val="20"/>
                <w:szCs w:val="20"/>
              </w:rPr>
              <w:lastRenderedPageBreak/>
              <w:t>responsables, SubContralor, Profesionales Universitarios o Especializados</w:t>
            </w:r>
          </w:p>
          <w:p w:rsidR="00334D13" w:rsidRPr="00C6748F" w:rsidRDefault="00334D13" w:rsidP="00E7190A">
            <w:pPr>
              <w:jc w:val="center"/>
              <w:rPr>
                <w:rFonts w:ascii="Franklin Gothic Medium" w:eastAsia="Calibri" w:hAnsi="Franklin Gothic Medium" w:cs="Arial"/>
                <w:sz w:val="20"/>
                <w:szCs w:val="20"/>
              </w:rPr>
            </w:pPr>
          </w:p>
          <w:p w:rsidR="00334D13" w:rsidRPr="00C6748F" w:rsidRDefault="00334D13" w:rsidP="00E7190A">
            <w:pPr>
              <w:jc w:val="center"/>
              <w:rPr>
                <w:rFonts w:ascii="Franklin Gothic Medium" w:hAnsi="Franklin Gothic Medium" w:cs="Arial"/>
                <w:sz w:val="18"/>
                <w:szCs w:val="18"/>
              </w:rPr>
            </w:pPr>
          </w:p>
        </w:tc>
        <w:tc>
          <w:tcPr>
            <w:tcW w:w="1417" w:type="dxa"/>
            <w:gridSpan w:val="4"/>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lastRenderedPageBreak/>
              <w:t>Enero 01 a 31 de Diciembre de 2015</w:t>
            </w:r>
          </w:p>
        </w:tc>
        <w:tc>
          <w:tcPr>
            <w:tcW w:w="1843"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100%</w:t>
            </w:r>
          </w:p>
        </w:tc>
        <w:tc>
          <w:tcPr>
            <w:tcW w:w="1984" w:type="dxa"/>
            <w:gridSpan w:val="6"/>
            <w:tcBorders>
              <w:top w:val="single" w:sz="4" w:space="0" w:color="auto"/>
              <w:left w:val="nil"/>
              <w:bottom w:val="single" w:sz="4" w:space="0" w:color="auto"/>
              <w:right w:val="single" w:sz="8" w:space="0" w:color="auto"/>
            </w:tcBorders>
            <w:shd w:val="clear" w:color="auto" w:fill="auto"/>
            <w:vAlign w:val="center"/>
            <w:hideMark/>
          </w:tcPr>
          <w:p w:rsidR="00334D13" w:rsidRPr="00C6748F" w:rsidRDefault="00334D13" w:rsidP="00E7190A">
            <w:pPr>
              <w:jc w:val="center"/>
              <w:rPr>
                <w:rFonts w:ascii="Franklin Gothic Medium" w:hAnsi="Franklin Gothic Medium" w:cs="Arial"/>
                <w:sz w:val="18"/>
                <w:szCs w:val="18"/>
              </w:rPr>
            </w:pPr>
            <w:r w:rsidRPr="00C6748F">
              <w:rPr>
                <w:rFonts w:ascii="Franklin Gothic Medium" w:hAnsi="Franklin Gothic Medium" w:cs="Arial"/>
                <w:sz w:val="18"/>
                <w:szCs w:val="18"/>
              </w:rPr>
              <w:t>Aplicación de la normatividad Vigente</w:t>
            </w:r>
          </w:p>
        </w:tc>
        <w:tc>
          <w:tcPr>
            <w:tcW w:w="1418"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B63350" w:rsidRDefault="00EA7226" w:rsidP="00E7190A">
            <w:pPr>
              <w:jc w:val="both"/>
              <w:rPr>
                <w:rFonts w:ascii="Franklin Gothic Medium" w:hAnsi="Franklin Gothic Medium" w:cs="Arial"/>
                <w:sz w:val="18"/>
                <w:szCs w:val="18"/>
              </w:rPr>
            </w:pPr>
            <w:r w:rsidRPr="00C6748F">
              <w:rPr>
                <w:rFonts w:ascii="Franklin Gothic Medium" w:hAnsi="Franklin Gothic Medium" w:cs="Arial"/>
                <w:sz w:val="18"/>
                <w:szCs w:val="18"/>
              </w:rPr>
              <w:t xml:space="preserve">Con el fin de impulsar, brindar celeridad, eficacia y </w:t>
            </w:r>
            <w:r w:rsidRPr="00C6748F">
              <w:rPr>
                <w:rFonts w:ascii="Franklin Gothic Medium" w:hAnsi="Franklin Gothic Medium" w:cs="Arial"/>
                <w:sz w:val="18"/>
                <w:szCs w:val="18"/>
              </w:rPr>
              <w:lastRenderedPageBreak/>
              <w:t>eficiencia al mencionado proceso, el indicador se cumplió de manera inmediata el día 12 de Diciembre de 2014.</w:t>
            </w:r>
          </w:p>
        </w:tc>
        <w:tc>
          <w:tcPr>
            <w:tcW w:w="3260" w:type="dxa"/>
            <w:gridSpan w:val="9"/>
            <w:tcBorders>
              <w:top w:val="nil"/>
              <w:left w:val="nil"/>
              <w:bottom w:val="nil"/>
              <w:right w:val="nil"/>
            </w:tcBorders>
            <w:shd w:val="clear" w:color="auto" w:fill="auto"/>
            <w:noWrap/>
            <w:vAlign w:val="center"/>
            <w:hideMark/>
          </w:tcPr>
          <w:p w:rsidR="00334D13" w:rsidRPr="00A22005" w:rsidRDefault="00334D13" w:rsidP="006134A3">
            <w:pPr>
              <w:rPr>
                <w:rFonts w:ascii="Arial" w:hAnsi="Arial" w:cs="Arial"/>
                <w:sz w:val="20"/>
                <w:szCs w:val="20"/>
              </w:rPr>
            </w:pPr>
          </w:p>
        </w:tc>
      </w:tr>
    </w:tbl>
    <w:p w:rsidR="0000551A" w:rsidRDefault="0000551A" w:rsidP="0000551A">
      <w:pPr>
        <w:contextualSpacing/>
        <w:rPr>
          <w:rFonts w:ascii="Franklin Gothic Book" w:hAnsi="Franklin Gothic Book" w:cs="Arial"/>
          <w:b/>
        </w:rPr>
      </w:pPr>
    </w:p>
    <w:p w:rsidR="001C4ED1" w:rsidRPr="00B63350" w:rsidRDefault="001C4ED1" w:rsidP="001C4ED1">
      <w:pPr>
        <w:pStyle w:val="Default"/>
        <w:rPr>
          <w:rFonts w:ascii="Franklin Gothic Medium" w:hAnsi="Franklin Gothic Medium"/>
          <w:sz w:val="20"/>
          <w:szCs w:val="20"/>
        </w:rPr>
      </w:pPr>
      <w:r>
        <w:rPr>
          <w:rFonts w:ascii="Franklin Gothic Book" w:hAnsi="Franklin Gothic Book"/>
          <w:b/>
        </w:rPr>
        <w:tab/>
      </w:r>
      <w:r w:rsidRPr="00B63350">
        <w:rPr>
          <w:rFonts w:ascii="Franklin Gothic Medium" w:hAnsi="Franklin Gothic Medium"/>
          <w:b/>
          <w:bCs/>
          <w:sz w:val="20"/>
          <w:szCs w:val="20"/>
        </w:rPr>
        <w:t xml:space="preserve"> </w:t>
      </w:r>
    </w:p>
    <w:p w:rsidR="0000551A" w:rsidRDefault="0000551A" w:rsidP="0000551A">
      <w:pPr>
        <w:contextualSpacing/>
        <w:rPr>
          <w:rFonts w:ascii="Franklin Gothic Book" w:hAnsi="Franklin Gothic Book" w:cs="Arial"/>
          <w:b/>
        </w:rPr>
      </w:pPr>
    </w:p>
    <w:p w:rsidR="0000551A" w:rsidRDefault="0000551A" w:rsidP="0000551A">
      <w:pPr>
        <w:contextualSpacing/>
        <w:rPr>
          <w:rFonts w:ascii="Franklin Gothic Book" w:hAnsi="Franklin Gothic Book" w:cs="Arial"/>
          <w:b/>
        </w:rPr>
      </w:pPr>
    </w:p>
    <w:p w:rsidR="0000551A" w:rsidRDefault="0000551A" w:rsidP="0000551A">
      <w:pPr>
        <w:contextualSpacing/>
        <w:rPr>
          <w:rFonts w:ascii="Franklin Gothic Book" w:hAnsi="Franklin Gothic Book" w:cs="Arial"/>
          <w:b/>
        </w:rPr>
      </w:pPr>
    </w:p>
    <w:p w:rsidR="0000551A" w:rsidRPr="002F4C8B" w:rsidRDefault="0000551A" w:rsidP="0000551A">
      <w:pPr>
        <w:contextualSpacing/>
        <w:jc w:val="center"/>
        <w:rPr>
          <w:rFonts w:ascii="Franklin Gothic Book" w:hAnsi="Franklin Gothic Book" w:cs="Arial"/>
          <w:b/>
        </w:rPr>
      </w:pPr>
      <w:r w:rsidRPr="002F4C8B">
        <w:rPr>
          <w:rFonts w:ascii="Franklin Gothic Book" w:hAnsi="Franklin Gothic Book" w:cs="Arial"/>
          <w:b/>
        </w:rPr>
        <w:t>MAGDA MILENA AMADO GAONA</w:t>
      </w:r>
    </w:p>
    <w:p w:rsidR="0000551A" w:rsidRDefault="0000551A" w:rsidP="00974EBA">
      <w:pPr>
        <w:contextualSpacing/>
        <w:jc w:val="center"/>
        <w:rPr>
          <w:rFonts w:ascii="Franklin Gothic Book" w:hAnsi="Franklin Gothic Book" w:cs="Arial"/>
        </w:rPr>
      </w:pPr>
      <w:r>
        <w:rPr>
          <w:rFonts w:ascii="Franklin Gothic Book" w:hAnsi="Franklin Gothic Book" w:cs="Arial"/>
        </w:rPr>
        <w:t>Contralora Municipal de Bucaramanga</w:t>
      </w:r>
    </w:p>
    <w:p w:rsidR="00EA0996" w:rsidRDefault="00EA0996" w:rsidP="00974EBA">
      <w:pPr>
        <w:contextualSpacing/>
        <w:jc w:val="center"/>
        <w:rPr>
          <w:rFonts w:ascii="Franklin Gothic Book" w:hAnsi="Franklin Gothic Book" w:cs="Arial"/>
          <w:sz w:val="16"/>
          <w:szCs w:val="16"/>
        </w:rPr>
      </w:pPr>
    </w:p>
    <w:p w:rsidR="00EA0996" w:rsidRPr="00EA0996" w:rsidRDefault="00EA0996" w:rsidP="00974EBA">
      <w:pPr>
        <w:contextualSpacing/>
        <w:jc w:val="center"/>
        <w:rPr>
          <w:sz w:val="16"/>
          <w:szCs w:val="16"/>
        </w:rPr>
      </w:pPr>
      <w:r w:rsidRPr="00EA0996">
        <w:rPr>
          <w:rFonts w:ascii="Franklin Gothic Book" w:hAnsi="Franklin Gothic Book" w:cs="Arial"/>
          <w:sz w:val="16"/>
          <w:szCs w:val="16"/>
        </w:rPr>
        <w:t xml:space="preserve">consolidó: </w:t>
      </w:r>
      <w:r>
        <w:rPr>
          <w:rFonts w:ascii="Franklin Gothic Book" w:hAnsi="Franklin Gothic Book" w:cs="Arial"/>
          <w:sz w:val="16"/>
          <w:szCs w:val="16"/>
        </w:rPr>
        <w:t>A</w:t>
      </w:r>
      <w:r w:rsidRPr="00EA0996">
        <w:rPr>
          <w:rFonts w:ascii="Franklin Gothic Book" w:hAnsi="Franklin Gothic Book" w:cs="Arial"/>
          <w:sz w:val="16"/>
          <w:szCs w:val="16"/>
        </w:rPr>
        <w:t xml:space="preserve">sesor </w:t>
      </w:r>
      <w:r>
        <w:rPr>
          <w:rFonts w:ascii="Franklin Gothic Book" w:hAnsi="Franklin Gothic Book" w:cs="Arial"/>
          <w:sz w:val="16"/>
          <w:szCs w:val="16"/>
        </w:rPr>
        <w:t>C</w:t>
      </w:r>
      <w:r w:rsidRPr="00EA0996">
        <w:rPr>
          <w:rFonts w:ascii="Franklin Gothic Book" w:hAnsi="Franklin Gothic Book" w:cs="Arial"/>
          <w:sz w:val="16"/>
          <w:szCs w:val="16"/>
        </w:rPr>
        <w:t xml:space="preserve">ontrol </w:t>
      </w:r>
      <w:r>
        <w:rPr>
          <w:rFonts w:ascii="Franklin Gothic Book" w:hAnsi="Franklin Gothic Book" w:cs="Arial"/>
          <w:sz w:val="16"/>
          <w:szCs w:val="16"/>
        </w:rPr>
        <w:t>I</w:t>
      </w:r>
      <w:r w:rsidRPr="00EA0996">
        <w:rPr>
          <w:rFonts w:ascii="Franklin Gothic Book" w:hAnsi="Franklin Gothic Book" w:cs="Arial"/>
          <w:sz w:val="16"/>
          <w:szCs w:val="16"/>
        </w:rPr>
        <w:t xml:space="preserve">nterno </w:t>
      </w:r>
      <w:r>
        <w:rPr>
          <w:rFonts w:ascii="Franklin Gothic Book" w:hAnsi="Franklin Gothic Book" w:cs="Arial"/>
          <w:sz w:val="16"/>
          <w:szCs w:val="16"/>
        </w:rPr>
        <w:t>LFPY</w:t>
      </w:r>
    </w:p>
    <w:sectPr w:rsidR="00EA0996" w:rsidRPr="00EA0996" w:rsidSect="00704771">
      <w:headerReference w:type="default" r:id="rId7"/>
      <w:footerReference w:type="default" r:id="rId8"/>
      <w:pgSz w:w="20163" w:h="12242" w:orient="landscape" w:code="5"/>
      <w:pgMar w:top="2552" w:right="1134" w:bottom="1134" w:left="1985"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48F" w:rsidRDefault="00C6748F">
      <w:r>
        <w:separator/>
      </w:r>
    </w:p>
  </w:endnote>
  <w:endnote w:type="continuationSeparator" w:id="0">
    <w:p w:rsidR="00C6748F" w:rsidRDefault="00C67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lliard B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wis721 BT">
    <w:altName w:val="Segoe Script"/>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8F" w:rsidRPr="00876885" w:rsidRDefault="00C6748F" w:rsidP="006138AC">
    <w:pPr>
      <w:pStyle w:val="Piedepgina"/>
      <w:jc w:val="center"/>
      <w:rPr>
        <w:rFonts w:ascii="Arial" w:hAnsi="Arial" w:cs="Arial"/>
        <w:i/>
        <w:sz w:val="20"/>
        <w:szCs w:val="20"/>
      </w:rPr>
    </w:pPr>
    <w:r w:rsidRPr="00C930DA">
      <w:rPr>
        <w:rFonts w:ascii="Arial" w:hAnsi="Arial" w:cs="Arial"/>
        <w:i/>
        <w:sz w:val="20"/>
        <w:szCs w:val="20"/>
      </w:rPr>
      <w:t xml:space="preserve">Carrera 11 Nº 34 – 52 Fase II, Piso 4 Tel: 6522777 Telefax. </w:t>
    </w:r>
    <w:r w:rsidRPr="00876885">
      <w:rPr>
        <w:rFonts w:ascii="Arial" w:hAnsi="Arial" w:cs="Arial"/>
        <w:i/>
        <w:sz w:val="20"/>
        <w:szCs w:val="20"/>
      </w:rPr>
      <w:t xml:space="preserve">6303777 </w:t>
    </w:r>
  </w:p>
  <w:p w:rsidR="00C6748F" w:rsidRPr="00C930DA" w:rsidRDefault="00C6748F" w:rsidP="006138AC">
    <w:pPr>
      <w:pStyle w:val="Piedepgina"/>
      <w:jc w:val="center"/>
      <w:rPr>
        <w:rFonts w:ascii="Arial" w:hAnsi="Arial" w:cs="Arial"/>
        <w:i/>
        <w:sz w:val="20"/>
        <w:szCs w:val="20"/>
      </w:rPr>
    </w:pPr>
    <w:r w:rsidRPr="00C930DA">
      <w:rPr>
        <w:rFonts w:ascii="Arial" w:hAnsi="Arial" w:cs="Arial"/>
        <w:i/>
        <w:sz w:val="20"/>
        <w:szCs w:val="20"/>
      </w:rPr>
      <w:t xml:space="preserve">Website: </w:t>
    </w:r>
    <w:hyperlink r:id="rId1" w:history="1">
      <w:r w:rsidRPr="00C930DA">
        <w:rPr>
          <w:rStyle w:val="Hipervnculo"/>
          <w:rFonts w:ascii="Arial" w:hAnsi="Arial" w:cs="Arial"/>
          <w:i/>
          <w:sz w:val="20"/>
          <w:szCs w:val="20"/>
        </w:rPr>
        <w:t>www.contraloriabga.gov.co</w:t>
      </w:r>
    </w:hyperlink>
    <w:r w:rsidRPr="00C930DA">
      <w:rPr>
        <w:rFonts w:ascii="Arial" w:hAnsi="Arial" w:cs="Arial"/>
        <w:i/>
        <w:sz w:val="20"/>
        <w:szCs w:val="20"/>
      </w:rPr>
      <w:t xml:space="preserve"> </w:t>
    </w:r>
  </w:p>
  <w:p w:rsidR="00C6748F" w:rsidRPr="00C930DA" w:rsidRDefault="00C6748F" w:rsidP="006138AC">
    <w:pPr>
      <w:pStyle w:val="Piedepgina"/>
      <w:jc w:val="center"/>
      <w:rPr>
        <w:sz w:val="20"/>
        <w:szCs w:val="20"/>
      </w:rPr>
    </w:pPr>
    <w:r w:rsidRPr="00C930DA">
      <w:rPr>
        <w:rFonts w:ascii="Arial" w:hAnsi="Arial" w:cs="Arial"/>
        <w:i/>
        <w:sz w:val="20"/>
        <w:szCs w:val="20"/>
      </w:rPr>
      <w:t>Correo Institucional: Contactenos</w:t>
    </w:r>
    <w:r>
      <w:rPr>
        <w:rFonts w:ascii="Arial" w:hAnsi="Arial" w:cs="Arial"/>
        <w:i/>
        <w:sz w:val="20"/>
        <w:szCs w:val="20"/>
      </w:rPr>
      <w:t>@contraloriabga.gov.co</w:t>
    </w:r>
    <w:r w:rsidRPr="00C930DA">
      <w:rPr>
        <w:rFonts w:ascii="Arial" w:hAnsi="Arial" w:cs="Arial"/>
        <w:i/>
        <w:sz w:val="20"/>
        <w:szCs w:val="20"/>
      </w:rPr>
      <w:t xml:space="preserve"> </w:t>
    </w:r>
  </w:p>
  <w:p w:rsidR="00C6748F" w:rsidRDefault="00C6748F" w:rsidP="006138AC">
    <w:pPr>
      <w:pStyle w:val="Piedepgina"/>
    </w:pPr>
  </w:p>
  <w:p w:rsidR="00C6748F" w:rsidRDefault="00C6748F">
    <w:pPr>
      <w:pStyle w:val="Piedepgina"/>
    </w:pPr>
  </w:p>
  <w:p w:rsidR="00C6748F" w:rsidRDefault="00C674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48F" w:rsidRDefault="00C6748F">
      <w:r>
        <w:separator/>
      </w:r>
    </w:p>
  </w:footnote>
  <w:footnote w:type="continuationSeparator" w:id="0">
    <w:p w:rsidR="00C6748F" w:rsidRDefault="00C67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8F" w:rsidRDefault="00C6748F"/>
  <w:p w:rsidR="00C6748F" w:rsidRDefault="00C6748F"/>
  <w:p w:rsidR="00C6748F" w:rsidRDefault="00C6748F"/>
  <w:p w:rsidR="00C6748F" w:rsidRDefault="00EA0996">
    <w:r>
      <w:rPr>
        <w:noProof/>
        <w:lang w:val="es-CO" w:eastAsia="es-CO"/>
      </w:rPr>
      <w:drawing>
        <wp:anchor distT="0" distB="0" distL="114300" distR="114300" simplePos="0" relativeHeight="251657728" behindDoc="0" locked="0" layoutInCell="1" allowOverlap="1">
          <wp:simplePos x="0" y="0"/>
          <wp:positionH relativeFrom="margin">
            <wp:posOffset>6883400</wp:posOffset>
          </wp:positionH>
          <wp:positionV relativeFrom="margin">
            <wp:posOffset>-925195</wp:posOffset>
          </wp:positionV>
          <wp:extent cx="2143125" cy="665903"/>
          <wp:effectExtent l="19050" t="0" r="952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145851" cy="666750"/>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7612"/>
    </w:tblGrid>
    <w:tr w:rsidR="00C6748F" w:rsidTr="00395EF7">
      <w:trPr>
        <w:trHeight w:val="544"/>
      </w:trPr>
      <w:tc>
        <w:tcPr>
          <w:tcW w:w="1442" w:type="dxa"/>
          <w:tcBorders>
            <w:top w:val="nil"/>
            <w:left w:val="nil"/>
            <w:bottom w:val="nil"/>
          </w:tcBorders>
        </w:tcPr>
        <w:p w:rsidR="00C6748F" w:rsidRPr="00995F3A" w:rsidRDefault="00C6748F" w:rsidP="00395EF7">
          <w:pPr>
            <w:pStyle w:val="Encabezado"/>
            <w:rPr>
              <w:rFonts w:ascii="Franklin Gothic Book" w:hAnsi="Franklin Gothic Book" w:cs="Arial"/>
              <w:b/>
              <w:sz w:val="16"/>
              <w:szCs w:val="16"/>
            </w:rPr>
          </w:pPr>
          <w:r>
            <w:rPr>
              <w:rFonts w:ascii="Franklin Gothic Book" w:hAnsi="Franklin Gothic Book" w:cs="Arial"/>
              <w:b/>
              <w:sz w:val="16"/>
              <w:szCs w:val="16"/>
            </w:rPr>
            <w:t>CIM-CO-001</w:t>
          </w:r>
        </w:p>
        <w:p w:rsidR="00C6748F" w:rsidRPr="00AD3450" w:rsidRDefault="00C6748F" w:rsidP="00CE5E4B">
          <w:pPr>
            <w:rPr>
              <w:rFonts w:ascii="Franklin Gothic Book" w:hAnsi="Franklin Gothic Book"/>
              <w:sz w:val="16"/>
              <w:szCs w:val="16"/>
            </w:rPr>
          </w:pPr>
          <w:r w:rsidRPr="00AD3450">
            <w:rPr>
              <w:rFonts w:ascii="Franklin Gothic Book" w:hAnsi="Franklin Gothic Book"/>
              <w:sz w:val="16"/>
              <w:szCs w:val="16"/>
            </w:rPr>
            <w:t xml:space="preserve">Página </w:t>
          </w:r>
          <w:r w:rsidRPr="00AD3450">
            <w:rPr>
              <w:rFonts w:ascii="Franklin Gothic Book" w:hAnsi="Franklin Gothic Book"/>
              <w:sz w:val="16"/>
              <w:szCs w:val="16"/>
            </w:rPr>
            <w:fldChar w:fldCharType="begin"/>
          </w:r>
          <w:r w:rsidRPr="00AD3450">
            <w:rPr>
              <w:rFonts w:ascii="Franklin Gothic Book" w:hAnsi="Franklin Gothic Book"/>
              <w:sz w:val="16"/>
              <w:szCs w:val="16"/>
            </w:rPr>
            <w:instrText xml:space="preserve"> PAGE </w:instrText>
          </w:r>
          <w:r w:rsidRPr="00AD3450">
            <w:rPr>
              <w:rFonts w:ascii="Franklin Gothic Book" w:hAnsi="Franklin Gothic Book"/>
              <w:sz w:val="16"/>
              <w:szCs w:val="16"/>
            </w:rPr>
            <w:fldChar w:fldCharType="separate"/>
          </w:r>
          <w:r w:rsidR="00EA0996">
            <w:rPr>
              <w:rFonts w:ascii="Franklin Gothic Book" w:hAnsi="Franklin Gothic Book"/>
              <w:noProof/>
              <w:sz w:val="16"/>
              <w:szCs w:val="16"/>
            </w:rPr>
            <w:t>8</w:t>
          </w:r>
          <w:r w:rsidRPr="00AD3450">
            <w:rPr>
              <w:rFonts w:ascii="Franklin Gothic Book" w:hAnsi="Franklin Gothic Book"/>
              <w:sz w:val="16"/>
              <w:szCs w:val="16"/>
            </w:rPr>
            <w:fldChar w:fldCharType="end"/>
          </w:r>
          <w:r w:rsidRPr="00AD3450">
            <w:rPr>
              <w:rFonts w:ascii="Franklin Gothic Book" w:hAnsi="Franklin Gothic Book"/>
              <w:sz w:val="16"/>
              <w:szCs w:val="16"/>
            </w:rPr>
            <w:t xml:space="preserve"> de </w:t>
          </w:r>
          <w:r>
            <w:rPr>
              <w:rFonts w:ascii="Franklin Gothic Book" w:hAnsi="Franklin Gothic Book"/>
              <w:sz w:val="16"/>
              <w:szCs w:val="16"/>
            </w:rPr>
            <w:t>9</w:t>
          </w:r>
        </w:p>
      </w:tc>
      <w:tc>
        <w:tcPr>
          <w:tcW w:w="7612" w:type="dxa"/>
          <w:tcBorders>
            <w:top w:val="nil"/>
            <w:bottom w:val="nil"/>
            <w:right w:val="nil"/>
          </w:tcBorders>
        </w:tcPr>
        <w:p w:rsidR="00C6748F" w:rsidRPr="00995F3A" w:rsidRDefault="00C6748F" w:rsidP="00395EF7">
          <w:pPr>
            <w:pStyle w:val="Sinespaciado"/>
            <w:rPr>
              <w:rFonts w:ascii="Franklin Gothic Book" w:hAnsi="Franklin Gothic Book"/>
              <w:b/>
              <w:sz w:val="16"/>
              <w:szCs w:val="16"/>
            </w:rPr>
          </w:pPr>
          <w:r w:rsidRPr="00995F3A">
            <w:rPr>
              <w:rFonts w:ascii="Franklin Gothic Book" w:hAnsi="Franklin Gothic Book"/>
              <w:b/>
              <w:sz w:val="16"/>
              <w:szCs w:val="16"/>
            </w:rPr>
            <w:t>CONTROL INTERNO</w:t>
          </w:r>
          <w:r>
            <w:rPr>
              <w:rFonts w:ascii="Franklin Gothic Book" w:hAnsi="Franklin Gothic Book"/>
              <w:b/>
              <w:sz w:val="16"/>
              <w:szCs w:val="16"/>
            </w:rPr>
            <w:t xml:space="preserve">  Y MEJORAMIENTO CONTINUO</w:t>
          </w:r>
        </w:p>
        <w:p w:rsidR="00C6748F" w:rsidRPr="00483D4E" w:rsidRDefault="00C6748F" w:rsidP="00483D4E">
          <w:pPr>
            <w:pStyle w:val="Sinespaciado"/>
            <w:rPr>
              <w:rFonts w:ascii="Swis721 BT" w:hAnsi="Swis721 BT"/>
              <w:sz w:val="16"/>
              <w:szCs w:val="16"/>
            </w:rPr>
          </w:pPr>
          <w:r w:rsidRPr="00483D4E">
            <w:rPr>
              <w:rFonts w:ascii="Franklin Gothic Book" w:hAnsi="Franklin Gothic Book"/>
              <w:sz w:val="16"/>
              <w:szCs w:val="16"/>
            </w:rPr>
            <w:t>Comunicaciones Varias</w:t>
          </w:r>
        </w:p>
        <w:p w:rsidR="00C6748F" w:rsidRPr="00AD3450" w:rsidRDefault="00C6748F" w:rsidP="00483D4E">
          <w:pPr>
            <w:pStyle w:val="Encabezado"/>
            <w:rPr>
              <w:rFonts w:ascii="Franklin Gothic Book" w:hAnsi="Franklin Gothic Book"/>
              <w:sz w:val="16"/>
              <w:szCs w:val="16"/>
            </w:rPr>
          </w:pPr>
        </w:p>
      </w:tc>
    </w:tr>
  </w:tbl>
  <w:p w:rsidR="00C6748F" w:rsidRDefault="00C6748F" w:rsidP="00720FA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rsids>
    <w:rsidRoot w:val="00CA09AA"/>
    <w:rsid w:val="000008C6"/>
    <w:rsid w:val="0000471B"/>
    <w:rsid w:val="0000551A"/>
    <w:rsid w:val="000117F2"/>
    <w:rsid w:val="0001772A"/>
    <w:rsid w:val="0002553B"/>
    <w:rsid w:val="000360D4"/>
    <w:rsid w:val="00036941"/>
    <w:rsid w:val="000369F2"/>
    <w:rsid w:val="00041CEA"/>
    <w:rsid w:val="00054044"/>
    <w:rsid w:val="00070D07"/>
    <w:rsid w:val="0008093C"/>
    <w:rsid w:val="0008238A"/>
    <w:rsid w:val="00085836"/>
    <w:rsid w:val="00097284"/>
    <w:rsid w:val="000A1F2C"/>
    <w:rsid w:val="000A5C0B"/>
    <w:rsid w:val="000B75F7"/>
    <w:rsid w:val="000C578B"/>
    <w:rsid w:val="000D1C02"/>
    <w:rsid w:val="000D3269"/>
    <w:rsid w:val="000E25D2"/>
    <w:rsid w:val="000F56C8"/>
    <w:rsid w:val="000F6ACC"/>
    <w:rsid w:val="000F6F72"/>
    <w:rsid w:val="00120EDC"/>
    <w:rsid w:val="00132471"/>
    <w:rsid w:val="001634A7"/>
    <w:rsid w:val="00165AE4"/>
    <w:rsid w:val="001703BD"/>
    <w:rsid w:val="001776A7"/>
    <w:rsid w:val="00186608"/>
    <w:rsid w:val="00192049"/>
    <w:rsid w:val="001A373A"/>
    <w:rsid w:val="001A65D1"/>
    <w:rsid w:val="001A7565"/>
    <w:rsid w:val="001C4ED1"/>
    <w:rsid w:val="001D02DB"/>
    <w:rsid w:val="001D4774"/>
    <w:rsid w:val="001E2E3B"/>
    <w:rsid w:val="001F16AC"/>
    <w:rsid w:val="00214791"/>
    <w:rsid w:val="002176AD"/>
    <w:rsid w:val="0022306D"/>
    <w:rsid w:val="00225954"/>
    <w:rsid w:val="00226CF0"/>
    <w:rsid w:val="00226F3C"/>
    <w:rsid w:val="00232637"/>
    <w:rsid w:val="00237682"/>
    <w:rsid w:val="00237D4F"/>
    <w:rsid w:val="002467AE"/>
    <w:rsid w:val="00253A88"/>
    <w:rsid w:val="00260674"/>
    <w:rsid w:val="00273AD8"/>
    <w:rsid w:val="00276185"/>
    <w:rsid w:val="002875A7"/>
    <w:rsid w:val="002912C7"/>
    <w:rsid w:val="00297771"/>
    <w:rsid w:val="002F1F9E"/>
    <w:rsid w:val="002F6B02"/>
    <w:rsid w:val="002F7D1A"/>
    <w:rsid w:val="00303038"/>
    <w:rsid w:val="00303DE1"/>
    <w:rsid w:val="0031041A"/>
    <w:rsid w:val="003155DC"/>
    <w:rsid w:val="00331D95"/>
    <w:rsid w:val="003337E5"/>
    <w:rsid w:val="003339EA"/>
    <w:rsid w:val="00334D13"/>
    <w:rsid w:val="003469A3"/>
    <w:rsid w:val="00351615"/>
    <w:rsid w:val="00395EF7"/>
    <w:rsid w:val="003C55BE"/>
    <w:rsid w:val="003D44B3"/>
    <w:rsid w:val="003D6CD7"/>
    <w:rsid w:val="003E2588"/>
    <w:rsid w:val="003F1BCE"/>
    <w:rsid w:val="003F51E5"/>
    <w:rsid w:val="00400005"/>
    <w:rsid w:val="004338AB"/>
    <w:rsid w:val="004357D2"/>
    <w:rsid w:val="00444E07"/>
    <w:rsid w:val="00454EF1"/>
    <w:rsid w:val="00467E99"/>
    <w:rsid w:val="00473BD7"/>
    <w:rsid w:val="00475021"/>
    <w:rsid w:val="00481E2B"/>
    <w:rsid w:val="00483D4E"/>
    <w:rsid w:val="00492865"/>
    <w:rsid w:val="004A3D17"/>
    <w:rsid w:val="004A503B"/>
    <w:rsid w:val="004B7E37"/>
    <w:rsid w:val="004C26F4"/>
    <w:rsid w:val="004C56AB"/>
    <w:rsid w:val="004D1090"/>
    <w:rsid w:val="004D4472"/>
    <w:rsid w:val="004F4D96"/>
    <w:rsid w:val="004F7F45"/>
    <w:rsid w:val="00507339"/>
    <w:rsid w:val="00521C2E"/>
    <w:rsid w:val="00534203"/>
    <w:rsid w:val="00540F6C"/>
    <w:rsid w:val="00544729"/>
    <w:rsid w:val="005519BE"/>
    <w:rsid w:val="005615A3"/>
    <w:rsid w:val="005665A3"/>
    <w:rsid w:val="0058048A"/>
    <w:rsid w:val="005A39A5"/>
    <w:rsid w:val="005A6DCB"/>
    <w:rsid w:val="005E01E7"/>
    <w:rsid w:val="005E0903"/>
    <w:rsid w:val="005F01C6"/>
    <w:rsid w:val="00603A18"/>
    <w:rsid w:val="00604555"/>
    <w:rsid w:val="00607DCE"/>
    <w:rsid w:val="006129E1"/>
    <w:rsid w:val="006134A3"/>
    <w:rsid w:val="006138AC"/>
    <w:rsid w:val="006340B0"/>
    <w:rsid w:val="00673871"/>
    <w:rsid w:val="00682819"/>
    <w:rsid w:val="0068506C"/>
    <w:rsid w:val="0068574D"/>
    <w:rsid w:val="006B531F"/>
    <w:rsid w:val="006C0453"/>
    <w:rsid w:val="006C0897"/>
    <w:rsid w:val="006C65B0"/>
    <w:rsid w:val="006C7BB1"/>
    <w:rsid w:val="006D7BE7"/>
    <w:rsid w:val="006E1C39"/>
    <w:rsid w:val="006E31D3"/>
    <w:rsid w:val="006F67EA"/>
    <w:rsid w:val="007000E0"/>
    <w:rsid w:val="00704771"/>
    <w:rsid w:val="00717815"/>
    <w:rsid w:val="00720FAA"/>
    <w:rsid w:val="00733B59"/>
    <w:rsid w:val="007372A9"/>
    <w:rsid w:val="00741E24"/>
    <w:rsid w:val="00750771"/>
    <w:rsid w:val="00774744"/>
    <w:rsid w:val="0077562A"/>
    <w:rsid w:val="00775735"/>
    <w:rsid w:val="007853C7"/>
    <w:rsid w:val="00792035"/>
    <w:rsid w:val="00795334"/>
    <w:rsid w:val="007A131B"/>
    <w:rsid w:val="007B1A2E"/>
    <w:rsid w:val="007B1A89"/>
    <w:rsid w:val="007B33BE"/>
    <w:rsid w:val="007B4683"/>
    <w:rsid w:val="007B5CC1"/>
    <w:rsid w:val="007C5686"/>
    <w:rsid w:val="007E0125"/>
    <w:rsid w:val="007E4305"/>
    <w:rsid w:val="007E630A"/>
    <w:rsid w:val="00800BCA"/>
    <w:rsid w:val="00815846"/>
    <w:rsid w:val="00820FED"/>
    <w:rsid w:val="008230F3"/>
    <w:rsid w:val="0082681E"/>
    <w:rsid w:val="00833895"/>
    <w:rsid w:val="00846024"/>
    <w:rsid w:val="00853BE7"/>
    <w:rsid w:val="00862E9A"/>
    <w:rsid w:val="00866A73"/>
    <w:rsid w:val="0087034A"/>
    <w:rsid w:val="008802C5"/>
    <w:rsid w:val="0088063E"/>
    <w:rsid w:val="00885F38"/>
    <w:rsid w:val="00887CD2"/>
    <w:rsid w:val="008C0A11"/>
    <w:rsid w:val="008C3678"/>
    <w:rsid w:val="008C7AE0"/>
    <w:rsid w:val="008D660B"/>
    <w:rsid w:val="008E55F2"/>
    <w:rsid w:val="008F35D7"/>
    <w:rsid w:val="008F4A3F"/>
    <w:rsid w:val="008F788D"/>
    <w:rsid w:val="00924978"/>
    <w:rsid w:val="00934B1F"/>
    <w:rsid w:val="009465EB"/>
    <w:rsid w:val="009508E8"/>
    <w:rsid w:val="00956536"/>
    <w:rsid w:val="009633F1"/>
    <w:rsid w:val="00963C02"/>
    <w:rsid w:val="00965545"/>
    <w:rsid w:val="00966CBE"/>
    <w:rsid w:val="00974EBA"/>
    <w:rsid w:val="00980A5B"/>
    <w:rsid w:val="0098395C"/>
    <w:rsid w:val="009A5929"/>
    <w:rsid w:val="009B1757"/>
    <w:rsid w:val="009B2B49"/>
    <w:rsid w:val="009C5941"/>
    <w:rsid w:val="009D1520"/>
    <w:rsid w:val="009D3918"/>
    <w:rsid w:val="009E7C82"/>
    <w:rsid w:val="009F165E"/>
    <w:rsid w:val="009F544B"/>
    <w:rsid w:val="00A0018B"/>
    <w:rsid w:val="00A04C50"/>
    <w:rsid w:val="00A1002E"/>
    <w:rsid w:val="00A10AAC"/>
    <w:rsid w:val="00A10FF8"/>
    <w:rsid w:val="00A11941"/>
    <w:rsid w:val="00A15800"/>
    <w:rsid w:val="00A22005"/>
    <w:rsid w:val="00A234EB"/>
    <w:rsid w:val="00A27A54"/>
    <w:rsid w:val="00A54B97"/>
    <w:rsid w:val="00A6749B"/>
    <w:rsid w:val="00A7203E"/>
    <w:rsid w:val="00A840B4"/>
    <w:rsid w:val="00A95995"/>
    <w:rsid w:val="00AA6448"/>
    <w:rsid w:val="00AB1B40"/>
    <w:rsid w:val="00AB3673"/>
    <w:rsid w:val="00AC38F0"/>
    <w:rsid w:val="00AC54D7"/>
    <w:rsid w:val="00AD3450"/>
    <w:rsid w:val="00AD698E"/>
    <w:rsid w:val="00AE0194"/>
    <w:rsid w:val="00AE2829"/>
    <w:rsid w:val="00AF1C5B"/>
    <w:rsid w:val="00AF42BA"/>
    <w:rsid w:val="00B1030F"/>
    <w:rsid w:val="00B15A74"/>
    <w:rsid w:val="00B16351"/>
    <w:rsid w:val="00B26899"/>
    <w:rsid w:val="00B26FDD"/>
    <w:rsid w:val="00B340EC"/>
    <w:rsid w:val="00B41905"/>
    <w:rsid w:val="00B447BD"/>
    <w:rsid w:val="00B513EA"/>
    <w:rsid w:val="00B551D2"/>
    <w:rsid w:val="00B612B9"/>
    <w:rsid w:val="00B61D76"/>
    <w:rsid w:val="00B65C8A"/>
    <w:rsid w:val="00B76C79"/>
    <w:rsid w:val="00B917C7"/>
    <w:rsid w:val="00BA31CE"/>
    <w:rsid w:val="00BB07A9"/>
    <w:rsid w:val="00BB28FD"/>
    <w:rsid w:val="00BC6D5A"/>
    <w:rsid w:val="00BC7980"/>
    <w:rsid w:val="00BD45DB"/>
    <w:rsid w:val="00BE2DE9"/>
    <w:rsid w:val="00BE4023"/>
    <w:rsid w:val="00BF2337"/>
    <w:rsid w:val="00BF2D96"/>
    <w:rsid w:val="00BF61E5"/>
    <w:rsid w:val="00C01ECF"/>
    <w:rsid w:val="00C14A86"/>
    <w:rsid w:val="00C25DB1"/>
    <w:rsid w:val="00C36A7C"/>
    <w:rsid w:val="00C3744C"/>
    <w:rsid w:val="00C52127"/>
    <w:rsid w:val="00C60B62"/>
    <w:rsid w:val="00C616B1"/>
    <w:rsid w:val="00C62618"/>
    <w:rsid w:val="00C6748F"/>
    <w:rsid w:val="00C67E39"/>
    <w:rsid w:val="00C714D8"/>
    <w:rsid w:val="00C73844"/>
    <w:rsid w:val="00C77F32"/>
    <w:rsid w:val="00C804F0"/>
    <w:rsid w:val="00C86C0C"/>
    <w:rsid w:val="00CA09AA"/>
    <w:rsid w:val="00CA20B3"/>
    <w:rsid w:val="00CA6305"/>
    <w:rsid w:val="00CD7BF9"/>
    <w:rsid w:val="00CE1331"/>
    <w:rsid w:val="00CE5E4B"/>
    <w:rsid w:val="00CF3B71"/>
    <w:rsid w:val="00D06BE9"/>
    <w:rsid w:val="00D2102E"/>
    <w:rsid w:val="00D22662"/>
    <w:rsid w:val="00D239E0"/>
    <w:rsid w:val="00D272D8"/>
    <w:rsid w:val="00D333CF"/>
    <w:rsid w:val="00D46B6E"/>
    <w:rsid w:val="00D52441"/>
    <w:rsid w:val="00D7667A"/>
    <w:rsid w:val="00DC6705"/>
    <w:rsid w:val="00DD4744"/>
    <w:rsid w:val="00DD6963"/>
    <w:rsid w:val="00DE3B5F"/>
    <w:rsid w:val="00DE4A4E"/>
    <w:rsid w:val="00DF398E"/>
    <w:rsid w:val="00DF7198"/>
    <w:rsid w:val="00E0055F"/>
    <w:rsid w:val="00E13C5B"/>
    <w:rsid w:val="00E33211"/>
    <w:rsid w:val="00E3381D"/>
    <w:rsid w:val="00E36918"/>
    <w:rsid w:val="00E60A7A"/>
    <w:rsid w:val="00E62C21"/>
    <w:rsid w:val="00E63A20"/>
    <w:rsid w:val="00E7190A"/>
    <w:rsid w:val="00E74165"/>
    <w:rsid w:val="00E77BAA"/>
    <w:rsid w:val="00E90983"/>
    <w:rsid w:val="00E9490E"/>
    <w:rsid w:val="00E973F4"/>
    <w:rsid w:val="00EA0996"/>
    <w:rsid w:val="00EA2A62"/>
    <w:rsid w:val="00EA2BE0"/>
    <w:rsid w:val="00EA467A"/>
    <w:rsid w:val="00EA7226"/>
    <w:rsid w:val="00EB0D86"/>
    <w:rsid w:val="00EC10A1"/>
    <w:rsid w:val="00EC55B1"/>
    <w:rsid w:val="00EC6F21"/>
    <w:rsid w:val="00EE0AD2"/>
    <w:rsid w:val="00EE21EE"/>
    <w:rsid w:val="00EF3579"/>
    <w:rsid w:val="00F01B53"/>
    <w:rsid w:val="00F03743"/>
    <w:rsid w:val="00F07A55"/>
    <w:rsid w:val="00F170C6"/>
    <w:rsid w:val="00F22320"/>
    <w:rsid w:val="00F308BD"/>
    <w:rsid w:val="00F37687"/>
    <w:rsid w:val="00F45080"/>
    <w:rsid w:val="00F535C0"/>
    <w:rsid w:val="00F55193"/>
    <w:rsid w:val="00F56A7F"/>
    <w:rsid w:val="00F640C0"/>
    <w:rsid w:val="00F73035"/>
    <w:rsid w:val="00F76E86"/>
    <w:rsid w:val="00FA3D74"/>
    <w:rsid w:val="00FA48C3"/>
    <w:rsid w:val="00FA5392"/>
    <w:rsid w:val="00FA63F3"/>
    <w:rsid w:val="00FB41BA"/>
    <w:rsid w:val="00FB6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C8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A09AA"/>
    <w:pPr>
      <w:tabs>
        <w:tab w:val="center" w:pos="4252"/>
        <w:tab w:val="right" w:pos="8504"/>
      </w:tabs>
    </w:pPr>
  </w:style>
  <w:style w:type="paragraph" w:styleId="Piedepgina">
    <w:name w:val="footer"/>
    <w:basedOn w:val="Normal"/>
    <w:link w:val="PiedepginaCar"/>
    <w:uiPriority w:val="99"/>
    <w:rsid w:val="00CA09AA"/>
    <w:pPr>
      <w:tabs>
        <w:tab w:val="center" w:pos="4252"/>
        <w:tab w:val="right" w:pos="8504"/>
      </w:tabs>
    </w:pPr>
  </w:style>
  <w:style w:type="character" w:customStyle="1" w:styleId="PiedepginaCar">
    <w:name w:val="Pie de página Car"/>
    <w:link w:val="Piedepgina"/>
    <w:uiPriority w:val="99"/>
    <w:rsid w:val="006138AC"/>
    <w:rPr>
      <w:sz w:val="24"/>
      <w:szCs w:val="24"/>
    </w:rPr>
  </w:style>
  <w:style w:type="paragraph" w:styleId="Textodeglobo">
    <w:name w:val="Balloon Text"/>
    <w:basedOn w:val="Normal"/>
    <w:link w:val="TextodegloboCar"/>
    <w:rsid w:val="006138AC"/>
    <w:rPr>
      <w:rFonts w:ascii="Tahoma" w:hAnsi="Tahoma"/>
      <w:sz w:val="16"/>
      <w:szCs w:val="16"/>
    </w:rPr>
  </w:style>
  <w:style w:type="character" w:customStyle="1" w:styleId="TextodegloboCar">
    <w:name w:val="Texto de globo Car"/>
    <w:link w:val="Textodeglobo"/>
    <w:rsid w:val="006138AC"/>
    <w:rPr>
      <w:rFonts w:ascii="Tahoma" w:hAnsi="Tahoma" w:cs="Tahoma"/>
      <w:sz w:val="16"/>
      <w:szCs w:val="16"/>
    </w:rPr>
  </w:style>
  <w:style w:type="character" w:styleId="Hipervnculo">
    <w:name w:val="Hyperlink"/>
    <w:uiPriority w:val="99"/>
    <w:rsid w:val="006138AC"/>
    <w:rPr>
      <w:color w:val="0000FF"/>
      <w:u w:val="single"/>
    </w:rPr>
  </w:style>
  <w:style w:type="character" w:customStyle="1" w:styleId="EncabezadoCar">
    <w:name w:val="Encabezado Car"/>
    <w:link w:val="Encabezado"/>
    <w:uiPriority w:val="99"/>
    <w:rsid w:val="00AD3450"/>
    <w:rPr>
      <w:sz w:val="24"/>
      <w:szCs w:val="24"/>
      <w:lang w:val="es-ES" w:eastAsia="es-ES"/>
    </w:rPr>
  </w:style>
  <w:style w:type="paragraph" w:styleId="Sinespaciado">
    <w:name w:val="No Spacing"/>
    <w:uiPriority w:val="1"/>
    <w:qFormat/>
    <w:rsid w:val="00AD3450"/>
    <w:rPr>
      <w:rFonts w:ascii="Calibri" w:eastAsia="Calibri" w:hAnsi="Calibri"/>
      <w:sz w:val="22"/>
      <w:szCs w:val="22"/>
      <w:lang w:val="es-CO"/>
    </w:rPr>
  </w:style>
  <w:style w:type="table" w:styleId="Tablaconcuadrcula">
    <w:name w:val="Table Grid"/>
    <w:basedOn w:val="Tablanormal"/>
    <w:uiPriority w:val="59"/>
    <w:rsid w:val="00AD3450"/>
    <w:rPr>
      <w:rFonts w:ascii="Calibri" w:eastAsia="Calibri" w:hAnsi="Calibri"/>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Car">
    <w:name w:val="Texto independiente 3 Car Car"/>
    <w:rsid w:val="00D239E0"/>
    <w:rPr>
      <w:rFonts w:ascii="Galliard BT" w:hAnsi="Galliard BT"/>
      <w:noProof w:val="0"/>
      <w:sz w:val="16"/>
      <w:szCs w:val="16"/>
      <w:lang w:val="es-CO" w:eastAsia="es-ES" w:bidi="ar-SA"/>
    </w:rPr>
  </w:style>
  <w:style w:type="paragraph" w:customStyle="1" w:styleId="Default">
    <w:name w:val="Default"/>
    <w:rsid w:val="00934B1F"/>
    <w:pPr>
      <w:autoSpaceDE w:val="0"/>
      <w:autoSpaceDN w:val="0"/>
      <w:adjustRightInd w:val="0"/>
    </w:pPr>
    <w:rPr>
      <w:rFonts w:ascii="Arial" w:hAnsi="Arial" w:cs="Arial"/>
      <w:color w:val="000000"/>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769406">
      <w:bodyDiv w:val="1"/>
      <w:marLeft w:val="0"/>
      <w:marRight w:val="0"/>
      <w:marTop w:val="0"/>
      <w:marBottom w:val="0"/>
      <w:divBdr>
        <w:top w:val="none" w:sz="0" w:space="0" w:color="auto"/>
        <w:left w:val="none" w:sz="0" w:space="0" w:color="auto"/>
        <w:bottom w:val="none" w:sz="0" w:space="0" w:color="auto"/>
        <w:right w:val="none" w:sz="0" w:space="0" w:color="auto"/>
      </w:divBdr>
    </w:div>
    <w:div w:id="349645716">
      <w:bodyDiv w:val="1"/>
      <w:marLeft w:val="0"/>
      <w:marRight w:val="0"/>
      <w:marTop w:val="0"/>
      <w:marBottom w:val="0"/>
      <w:divBdr>
        <w:top w:val="none" w:sz="0" w:space="0" w:color="auto"/>
        <w:left w:val="none" w:sz="0" w:space="0" w:color="auto"/>
        <w:bottom w:val="none" w:sz="0" w:space="0" w:color="auto"/>
        <w:right w:val="none" w:sz="0" w:space="0" w:color="auto"/>
      </w:divBdr>
    </w:div>
    <w:div w:id="397170993">
      <w:bodyDiv w:val="1"/>
      <w:marLeft w:val="0"/>
      <w:marRight w:val="0"/>
      <w:marTop w:val="0"/>
      <w:marBottom w:val="0"/>
      <w:divBdr>
        <w:top w:val="none" w:sz="0" w:space="0" w:color="auto"/>
        <w:left w:val="none" w:sz="0" w:space="0" w:color="auto"/>
        <w:bottom w:val="none" w:sz="0" w:space="0" w:color="auto"/>
        <w:right w:val="none" w:sz="0" w:space="0" w:color="auto"/>
      </w:divBdr>
    </w:div>
    <w:div w:id="561478194">
      <w:bodyDiv w:val="1"/>
      <w:marLeft w:val="0"/>
      <w:marRight w:val="0"/>
      <w:marTop w:val="0"/>
      <w:marBottom w:val="0"/>
      <w:divBdr>
        <w:top w:val="none" w:sz="0" w:space="0" w:color="auto"/>
        <w:left w:val="none" w:sz="0" w:space="0" w:color="auto"/>
        <w:bottom w:val="none" w:sz="0" w:space="0" w:color="auto"/>
        <w:right w:val="none" w:sz="0" w:space="0" w:color="auto"/>
      </w:divBdr>
    </w:div>
    <w:div w:id="820581178">
      <w:bodyDiv w:val="1"/>
      <w:marLeft w:val="0"/>
      <w:marRight w:val="0"/>
      <w:marTop w:val="0"/>
      <w:marBottom w:val="0"/>
      <w:divBdr>
        <w:top w:val="none" w:sz="0" w:space="0" w:color="auto"/>
        <w:left w:val="none" w:sz="0" w:space="0" w:color="auto"/>
        <w:bottom w:val="none" w:sz="0" w:space="0" w:color="auto"/>
        <w:right w:val="none" w:sz="0" w:space="0" w:color="auto"/>
      </w:divBdr>
    </w:div>
    <w:div w:id="1160653163">
      <w:bodyDiv w:val="1"/>
      <w:marLeft w:val="0"/>
      <w:marRight w:val="0"/>
      <w:marTop w:val="0"/>
      <w:marBottom w:val="0"/>
      <w:divBdr>
        <w:top w:val="none" w:sz="0" w:space="0" w:color="auto"/>
        <w:left w:val="none" w:sz="0" w:space="0" w:color="auto"/>
        <w:bottom w:val="none" w:sz="0" w:space="0" w:color="auto"/>
        <w:right w:val="none" w:sz="0" w:space="0" w:color="auto"/>
      </w:divBdr>
    </w:div>
    <w:div w:id="1234777823">
      <w:bodyDiv w:val="1"/>
      <w:marLeft w:val="0"/>
      <w:marRight w:val="0"/>
      <w:marTop w:val="0"/>
      <w:marBottom w:val="0"/>
      <w:divBdr>
        <w:top w:val="none" w:sz="0" w:space="0" w:color="auto"/>
        <w:left w:val="none" w:sz="0" w:space="0" w:color="auto"/>
        <w:bottom w:val="none" w:sz="0" w:space="0" w:color="auto"/>
        <w:right w:val="none" w:sz="0" w:space="0" w:color="auto"/>
      </w:divBdr>
    </w:div>
    <w:div w:id="1258947295">
      <w:bodyDiv w:val="1"/>
      <w:marLeft w:val="0"/>
      <w:marRight w:val="0"/>
      <w:marTop w:val="0"/>
      <w:marBottom w:val="0"/>
      <w:divBdr>
        <w:top w:val="none" w:sz="0" w:space="0" w:color="auto"/>
        <w:left w:val="none" w:sz="0" w:space="0" w:color="auto"/>
        <w:bottom w:val="none" w:sz="0" w:space="0" w:color="auto"/>
        <w:right w:val="none" w:sz="0" w:space="0" w:color="auto"/>
      </w:divBdr>
    </w:div>
    <w:div w:id="1313288931">
      <w:bodyDiv w:val="1"/>
      <w:marLeft w:val="0"/>
      <w:marRight w:val="0"/>
      <w:marTop w:val="0"/>
      <w:marBottom w:val="0"/>
      <w:divBdr>
        <w:top w:val="none" w:sz="0" w:space="0" w:color="auto"/>
        <w:left w:val="none" w:sz="0" w:space="0" w:color="auto"/>
        <w:bottom w:val="none" w:sz="0" w:space="0" w:color="auto"/>
        <w:right w:val="none" w:sz="0" w:space="0" w:color="auto"/>
      </w:divBdr>
    </w:div>
    <w:div w:id="1460107083">
      <w:bodyDiv w:val="1"/>
      <w:marLeft w:val="0"/>
      <w:marRight w:val="0"/>
      <w:marTop w:val="0"/>
      <w:marBottom w:val="0"/>
      <w:divBdr>
        <w:top w:val="none" w:sz="0" w:space="0" w:color="auto"/>
        <w:left w:val="none" w:sz="0" w:space="0" w:color="auto"/>
        <w:bottom w:val="none" w:sz="0" w:space="0" w:color="auto"/>
        <w:right w:val="none" w:sz="0" w:space="0" w:color="auto"/>
      </w:divBdr>
    </w:div>
    <w:div w:id="19673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g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A371-1762-4EE2-AC40-A50221D4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2041</Words>
  <Characters>12040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Bucaramanga, XXXXXXXXXX XX de XXXXXXXXX</vt:lpstr>
    </vt:vector>
  </TitlesOfParts>
  <Company>IRONBLADE 2004 - BUCARAMANGA</Company>
  <LinksUpToDate>false</LinksUpToDate>
  <CharactersWithSpaces>14053</CharactersWithSpaces>
  <SharedDoc>false</SharedDoc>
  <HLinks>
    <vt:vector size="6" baseType="variant">
      <vt:variant>
        <vt:i4>4980829</vt:i4>
      </vt:variant>
      <vt:variant>
        <vt:i4>6</vt:i4>
      </vt:variant>
      <vt:variant>
        <vt:i4>0</vt:i4>
      </vt:variant>
      <vt:variant>
        <vt:i4>5</vt:i4>
      </vt:variant>
      <vt:variant>
        <vt:lpwstr>http://www.contraloriabga.gov.co/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Bucaramanga, XXXXXXXXXX XX de XXXXXXXXX</dc:title>
  <dc:creator>OFICINA JURIDICA</dc:creator>
  <cp:lastModifiedBy>USER</cp:lastModifiedBy>
  <cp:revision>4</cp:revision>
  <cp:lastPrinted>2015-07-01T12:31:00Z</cp:lastPrinted>
  <dcterms:created xsi:type="dcterms:W3CDTF">2015-07-01T12:19:00Z</dcterms:created>
  <dcterms:modified xsi:type="dcterms:W3CDTF">2015-07-01T12:33:00Z</dcterms:modified>
</cp:coreProperties>
</file>